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EB84" w14:textId="77777777" w:rsidR="00ED73E8" w:rsidRDefault="00ED73E8" w:rsidP="00F039C5">
      <w:pPr>
        <w:pStyle w:val="PaperTitleWCCM"/>
        <w:jc w:val="center"/>
      </w:pPr>
      <w:r w:rsidRPr="00ED73E8">
        <w:t>Enabling Technologies and Simulation Practices for Advanced Scientific and Engineering Computation</w:t>
      </w:r>
    </w:p>
    <w:p w14:paraId="7160CABC" w14:textId="5883B4A4" w:rsidR="00F039C5" w:rsidRPr="00F039C5" w:rsidRDefault="00ED73E8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TRACK NUMBER </w:t>
      </w:r>
      <w:r w:rsidR="00ED0533">
        <w:rPr>
          <w:rFonts w:asciiTheme="majorBidi" w:hAnsiTheme="majorBidi" w:cstheme="majorBidi"/>
          <w:sz w:val="24"/>
          <w:szCs w:val="24"/>
        </w:rPr>
        <w:t>5000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94E8BA7" w14:textId="7DAEA14C" w:rsidR="000937C2" w:rsidRDefault="00ED73E8">
      <w:pPr>
        <w:pStyle w:val="PaperTitleWCCM"/>
        <w:jc w:val="center"/>
        <w:rPr>
          <w:position w:val="12"/>
          <w:sz w:val="24"/>
          <w:szCs w:val="16"/>
        </w:rPr>
      </w:pPr>
      <w:r>
        <w:rPr>
          <w:sz w:val="24"/>
        </w:rPr>
        <w:t>Alvaro L.G.A. Coutinho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, </w:t>
      </w:r>
      <w:r>
        <w:rPr>
          <w:sz w:val="24"/>
        </w:rPr>
        <w:t>William L. Barth</w:t>
      </w:r>
      <w:r w:rsidR="006E077B">
        <w:rPr>
          <w:sz w:val="24"/>
        </w:rPr>
        <w:t xml:space="preserve">, </w:t>
      </w:r>
      <w:r w:rsidR="000937C2">
        <w:rPr>
          <w:position w:val="12"/>
          <w:sz w:val="24"/>
          <w:szCs w:val="16"/>
        </w:rPr>
        <w:t>†</w:t>
      </w:r>
      <w:r w:rsidR="000937C2">
        <w:rPr>
          <w:sz w:val="24"/>
        </w:rPr>
        <w:t xml:space="preserve"> </w:t>
      </w:r>
      <w:r w:rsidR="000937C2">
        <w:rPr>
          <w:sz w:val="24"/>
        </w:rPr>
        <w:br/>
      </w:r>
      <w:r w:rsidRPr="00ED73E8">
        <w:rPr>
          <w:sz w:val="24"/>
        </w:rPr>
        <w:t xml:space="preserve">Guillaume Houzeaux </w:t>
      </w:r>
      <w:r>
        <w:rPr>
          <w:position w:val="12"/>
          <w:sz w:val="24"/>
          <w:szCs w:val="16"/>
        </w:rPr>
        <w:t>‡</w:t>
      </w:r>
      <w:r w:rsidR="006E077B">
        <w:rPr>
          <w:sz w:val="24"/>
        </w:rPr>
        <w:t>, AND CHARLES MOULINEC</w:t>
      </w:r>
      <w:r w:rsidR="006E077B">
        <w:rPr>
          <w:position w:val="12"/>
          <w:sz w:val="24"/>
          <w:szCs w:val="16"/>
        </w:rPr>
        <w:t>**</w:t>
      </w:r>
    </w:p>
    <w:p w14:paraId="45505B29" w14:textId="6F23933B" w:rsidR="000937C2" w:rsidRPr="000F4C18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Pr="000F4C18">
        <w:tab/>
      </w:r>
      <w:r w:rsidR="00ED73E8">
        <w:t>High Performance Computing Center, COPPE/Federal University of Rio de Janeiro</w:t>
      </w:r>
    </w:p>
    <w:p w14:paraId="36C61766" w14:textId="561A92A3" w:rsidR="000937C2" w:rsidRPr="006E077B" w:rsidRDefault="00ED73E8">
      <w:pPr>
        <w:pStyle w:val="LiteWCCM"/>
        <w:rPr>
          <w:lang w:val="es-ES"/>
        </w:rPr>
      </w:pPr>
      <w:proofErr w:type="spellStart"/>
      <w:r w:rsidRPr="006E077B">
        <w:rPr>
          <w:lang w:val="es-ES"/>
        </w:rPr>
        <w:t>Av</w:t>
      </w:r>
      <w:proofErr w:type="spellEnd"/>
      <w:r w:rsidRPr="006E077B">
        <w:rPr>
          <w:lang w:val="es-ES"/>
        </w:rPr>
        <w:t xml:space="preserve"> Horacio Macedo 2030 CT I248, Rio de Janeiro, RJ 21941-914, </w:t>
      </w:r>
      <w:proofErr w:type="spellStart"/>
      <w:r w:rsidRPr="006E077B">
        <w:rPr>
          <w:lang w:val="es-ES"/>
        </w:rPr>
        <w:t>Brazil</w:t>
      </w:r>
      <w:proofErr w:type="spellEnd"/>
    </w:p>
    <w:p w14:paraId="687C8649" w14:textId="505FAD5C" w:rsidR="000937C2" w:rsidRPr="006E077B" w:rsidRDefault="00583163">
      <w:pPr>
        <w:pStyle w:val="LiteWCCM"/>
        <w:rPr>
          <w:lang w:val="es-ES"/>
        </w:rPr>
      </w:pPr>
      <w:hyperlink r:id="rId7" w:history="1">
        <w:r w:rsidR="00ED73E8" w:rsidRPr="006E077B">
          <w:rPr>
            <w:rStyle w:val="Hyperlink"/>
            <w:lang w:val="es-ES"/>
          </w:rPr>
          <w:t>alvaro@nacad.ufrj.br</w:t>
        </w:r>
      </w:hyperlink>
      <w:r w:rsidR="00ED73E8" w:rsidRPr="006E077B">
        <w:rPr>
          <w:lang w:val="es-ES"/>
        </w:rPr>
        <w:t xml:space="preserve">; </w:t>
      </w:r>
      <w:r w:rsidR="000937C2" w:rsidRPr="006E077B">
        <w:rPr>
          <w:lang w:val="es-ES"/>
        </w:rPr>
        <w:t xml:space="preserve"> </w:t>
      </w:r>
      <w:r w:rsidR="00ED73E8" w:rsidRPr="006E077B">
        <w:rPr>
          <w:lang w:val="es-ES"/>
        </w:rPr>
        <w:t>www.nacad.ufrj.br</w:t>
      </w:r>
    </w:p>
    <w:p w14:paraId="0C387D62" w14:textId="77777777" w:rsidR="000937C2" w:rsidRPr="006E077B" w:rsidRDefault="000937C2">
      <w:pPr>
        <w:pStyle w:val="LiteWCCM"/>
        <w:rPr>
          <w:lang w:val="es-ES"/>
        </w:rPr>
      </w:pPr>
    </w:p>
    <w:p w14:paraId="6E2ECA6D" w14:textId="6A0E6FCA" w:rsidR="000937C2" w:rsidRDefault="000937C2">
      <w:pPr>
        <w:pStyle w:val="LiteWCCM"/>
        <w:rPr>
          <w:lang w:val="en-GB"/>
        </w:rPr>
      </w:pPr>
      <w:r>
        <w:rPr>
          <w:vertAlign w:val="superscript"/>
        </w:rPr>
        <w:t>†</w:t>
      </w:r>
      <w:r>
        <w:t xml:space="preserve"> </w:t>
      </w:r>
      <w:r w:rsidR="00ED73E8" w:rsidRPr="00ED73E8">
        <w:rPr>
          <w:lang w:val="en-GB"/>
        </w:rPr>
        <w:t xml:space="preserve">Texas Advanced Computing </w:t>
      </w:r>
      <w:proofErr w:type="spellStart"/>
      <w:r w:rsidR="00ED73E8" w:rsidRPr="00ED73E8">
        <w:rPr>
          <w:lang w:val="en-GB"/>
        </w:rPr>
        <w:t>Cente</w:t>
      </w:r>
      <w:r w:rsidR="00ED73E8">
        <w:rPr>
          <w:lang w:val="en-GB"/>
        </w:rPr>
        <w:t>r</w:t>
      </w:r>
      <w:proofErr w:type="spellEnd"/>
    </w:p>
    <w:p w14:paraId="26E80E10" w14:textId="77777777" w:rsidR="00ED73E8" w:rsidRDefault="00ED73E8" w:rsidP="00ED73E8">
      <w:pPr>
        <w:pStyle w:val="LiteWCCM"/>
        <w:rPr>
          <w:lang w:val="en-GB"/>
        </w:rPr>
      </w:pPr>
      <w:r w:rsidRPr="00ED73E8">
        <w:rPr>
          <w:lang w:val="en-GB"/>
        </w:rPr>
        <w:t>Advanced Computing Building (ACB)</w:t>
      </w:r>
      <w:r>
        <w:rPr>
          <w:lang w:val="en-GB"/>
        </w:rPr>
        <w:t xml:space="preserve">, </w:t>
      </w:r>
      <w:r w:rsidRPr="00ED73E8">
        <w:rPr>
          <w:lang w:val="en-GB"/>
        </w:rPr>
        <w:t>J.J. Pickle Research Campus, Building 205</w:t>
      </w:r>
      <w:r>
        <w:rPr>
          <w:lang w:val="en-GB"/>
        </w:rPr>
        <w:t xml:space="preserve">, </w:t>
      </w:r>
      <w:r w:rsidRPr="00ED73E8">
        <w:rPr>
          <w:lang w:val="en-GB"/>
        </w:rPr>
        <w:t>10100 Burnet Rd</w:t>
      </w:r>
      <w:r>
        <w:rPr>
          <w:lang w:val="en-GB"/>
        </w:rPr>
        <w:t xml:space="preserve"> </w:t>
      </w:r>
      <w:r w:rsidRPr="00ED73E8">
        <w:rPr>
          <w:lang w:val="en-GB"/>
        </w:rPr>
        <w:t>(R8700)</w:t>
      </w:r>
      <w:r>
        <w:rPr>
          <w:lang w:val="en-GB"/>
        </w:rPr>
        <w:t xml:space="preserve"> </w:t>
      </w:r>
      <w:r w:rsidRPr="00ED73E8">
        <w:rPr>
          <w:lang w:val="en-GB"/>
        </w:rPr>
        <w:t>Austin, TX 78758</w:t>
      </w:r>
    </w:p>
    <w:p w14:paraId="121C72FC" w14:textId="2B4F4E15" w:rsidR="000937C2" w:rsidRDefault="00583163" w:rsidP="00ED73E8">
      <w:pPr>
        <w:pStyle w:val="LiteWCCM"/>
        <w:rPr>
          <w:lang w:val="en-GB"/>
        </w:rPr>
      </w:pPr>
      <w:hyperlink r:id="rId8" w:history="1">
        <w:r w:rsidR="00ED73E8" w:rsidRPr="009D5A3A">
          <w:rPr>
            <w:rStyle w:val="Hyperlink"/>
            <w:lang w:val="en-GB"/>
          </w:rPr>
          <w:t>bbarth@tacc.utexas.edu</w:t>
        </w:r>
      </w:hyperlink>
      <w:r w:rsidR="00ED73E8">
        <w:rPr>
          <w:lang w:val="en-GB"/>
        </w:rPr>
        <w:t xml:space="preserve">; </w:t>
      </w:r>
      <w:hyperlink r:id="rId9" w:history="1">
        <w:r w:rsidR="00ED73E8" w:rsidRPr="009D5A3A">
          <w:rPr>
            <w:rStyle w:val="Hyperlink"/>
            <w:lang w:val="en-GB"/>
          </w:rPr>
          <w:t>www.tacc.utexas.edu</w:t>
        </w:r>
      </w:hyperlink>
    </w:p>
    <w:p w14:paraId="1C734E5A" w14:textId="0E919A8E" w:rsidR="00ED73E8" w:rsidRDefault="00ED73E8" w:rsidP="00ED73E8">
      <w:pPr>
        <w:pStyle w:val="LiteWCCM"/>
        <w:rPr>
          <w:lang w:val="en-GB"/>
        </w:rPr>
      </w:pPr>
    </w:p>
    <w:p w14:paraId="57C9E3AE" w14:textId="009A6D36" w:rsidR="00ED73E8" w:rsidRDefault="00ED73E8" w:rsidP="00ED73E8">
      <w:pPr>
        <w:pStyle w:val="LiteWCCM"/>
        <w:rPr>
          <w:lang w:val="en-GB"/>
        </w:rPr>
      </w:pPr>
      <w:r w:rsidRPr="00ED73E8">
        <w:rPr>
          <w:vertAlign w:val="superscript"/>
        </w:rPr>
        <w:t>‡</w:t>
      </w:r>
      <w:r>
        <w:t xml:space="preserve"> </w:t>
      </w:r>
      <w:r>
        <w:rPr>
          <w:lang w:val="en-GB"/>
        </w:rPr>
        <w:t xml:space="preserve">Barcelona Supercomputing </w:t>
      </w:r>
      <w:proofErr w:type="spellStart"/>
      <w:r>
        <w:rPr>
          <w:lang w:val="en-GB"/>
        </w:rPr>
        <w:t>Center</w:t>
      </w:r>
      <w:proofErr w:type="spellEnd"/>
    </w:p>
    <w:p w14:paraId="7642F13F" w14:textId="77777777" w:rsidR="00ED73E8" w:rsidRPr="00ED73E8" w:rsidRDefault="00ED73E8" w:rsidP="00ED73E8">
      <w:pPr>
        <w:pStyle w:val="LiteWCCM"/>
        <w:rPr>
          <w:lang w:val="en-GB"/>
        </w:rPr>
      </w:pPr>
      <w:r w:rsidRPr="00ED73E8">
        <w:rPr>
          <w:lang w:val="en-GB"/>
        </w:rPr>
        <w:t>Computer Applications in Science &amp; Engineerin</w:t>
      </w:r>
      <w:r>
        <w:rPr>
          <w:lang w:val="en-GB"/>
        </w:rPr>
        <w:t xml:space="preserve">g </w:t>
      </w:r>
      <w:r w:rsidRPr="00ED73E8">
        <w:rPr>
          <w:lang w:val="en-GB"/>
        </w:rPr>
        <w:t>Torre Girona c/Jordi Girona, 31</w:t>
      </w:r>
    </w:p>
    <w:p w14:paraId="592C701F" w14:textId="702C83CA" w:rsidR="00ED73E8" w:rsidRPr="00ED73E8" w:rsidRDefault="00ED73E8" w:rsidP="00ED73E8">
      <w:pPr>
        <w:pStyle w:val="LiteWCCM"/>
        <w:rPr>
          <w:lang w:val="en-GB"/>
        </w:rPr>
      </w:pPr>
      <w:r w:rsidRPr="00ED73E8">
        <w:rPr>
          <w:lang w:val="en-GB"/>
        </w:rPr>
        <w:t>Nexus II Building c/Jordi Girona, 29</w:t>
      </w:r>
      <w:r>
        <w:rPr>
          <w:lang w:val="en-GB"/>
        </w:rPr>
        <w:t xml:space="preserve"> </w:t>
      </w:r>
      <w:r w:rsidRPr="00ED73E8">
        <w:rPr>
          <w:lang w:val="en-GB"/>
        </w:rPr>
        <w:t>08034 Barcelona (Spain)</w:t>
      </w:r>
    </w:p>
    <w:p w14:paraId="188377FE" w14:textId="6247937A" w:rsidR="00ED73E8" w:rsidRDefault="00ED73E8" w:rsidP="00ED73E8">
      <w:pPr>
        <w:pStyle w:val="LiteWCCM"/>
        <w:rPr>
          <w:lang w:val="en-GB"/>
        </w:rPr>
      </w:pPr>
      <w:r w:rsidRPr="00ED73E8">
        <w:rPr>
          <w:lang w:val="en-GB"/>
        </w:rPr>
        <w:t>guillaume.houzeaux@bsc.es</w:t>
      </w:r>
      <w:r>
        <w:rPr>
          <w:lang w:val="en-GB"/>
        </w:rPr>
        <w:t xml:space="preserve">; </w:t>
      </w:r>
      <w:hyperlink r:id="rId10" w:history="1">
        <w:r w:rsidRPr="009D5A3A">
          <w:rPr>
            <w:rStyle w:val="Hyperlink"/>
            <w:lang w:val="en-GB"/>
          </w:rPr>
          <w:t>www.bsc.es</w:t>
        </w:r>
      </w:hyperlink>
    </w:p>
    <w:p w14:paraId="02E2F47C" w14:textId="5D953F81" w:rsidR="00ED73E8" w:rsidRDefault="00ED73E8" w:rsidP="00ED73E8">
      <w:pPr>
        <w:pStyle w:val="LiteWCCM"/>
        <w:rPr>
          <w:lang w:val="en-GB"/>
        </w:rPr>
      </w:pPr>
    </w:p>
    <w:p w14:paraId="55B8C1C2" w14:textId="500EBD34" w:rsidR="006E077B" w:rsidRDefault="006E077B" w:rsidP="006E077B">
      <w:pPr>
        <w:pStyle w:val="LiteWCCM"/>
        <w:rPr>
          <w:lang w:val="en-GB"/>
        </w:rPr>
      </w:pPr>
      <w:r>
        <w:rPr>
          <w:vertAlign w:val="superscript"/>
          <w:lang w:val="en-GB"/>
        </w:rPr>
        <w:t>**</w:t>
      </w:r>
      <w:r w:rsidR="00285A13">
        <w:rPr>
          <w:lang w:val="en-GB"/>
        </w:rPr>
        <w:t>S</w:t>
      </w:r>
      <w:r w:rsidRPr="006E077B">
        <w:rPr>
          <w:lang w:val="en-GB"/>
        </w:rPr>
        <w:t>cience and Technology Facilities Council</w:t>
      </w:r>
    </w:p>
    <w:p w14:paraId="0E643BEA" w14:textId="51B59B39" w:rsidR="006E077B" w:rsidRPr="006E077B" w:rsidRDefault="00285A13" w:rsidP="006E077B">
      <w:pPr>
        <w:pStyle w:val="LiteWCCM"/>
        <w:rPr>
          <w:lang w:val="en-GB"/>
        </w:rPr>
      </w:pPr>
      <w:r>
        <w:rPr>
          <w:lang w:val="en-GB"/>
        </w:rPr>
        <w:t>Scientific Computing Department, Sci-Tech Daresbury, Warrington, WA4 4AD</w:t>
      </w:r>
      <w:r w:rsidR="006E077B">
        <w:rPr>
          <w:lang w:val="en-GB"/>
        </w:rPr>
        <w:t xml:space="preserve"> (United Kingdom)</w:t>
      </w:r>
    </w:p>
    <w:p w14:paraId="41B22A5B" w14:textId="7F87C58B" w:rsidR="006E077B" w:rsidRPr="006E077B" w:rsidRDefault="00583163" w:rsidP="00ED73E8">
      <w:pPr>
        <w:pStyle w:val="LiteWCCM"/>
        <w:rPr>
          <w:lang w:val="en-GB"/>
        </w:rPr>
      </w:pPr>
      <w:hyperlink r:id="rId11" w:history="1">
        <w:r w:rsidR="006E077B" w:rsidRPr="000351CE">
          <w:rPr>
            <w:rStyle w:val="Hyperlink"/>
            <w:lang w:val="en-GB"/>
          </w:rPr>
          <w:t>charles.moulinec@stfc.ac.uk</w:t>
        </w:r>
      </w:hyperlink>
      <w:r w:rsidR="00285A13">
        <w:rPr>
          <w:lang w:val="en-GB"/>
        </w:rPr>
        <w:t>;</w:t>
      </w:r>
      <w:r w:rsidR="006E077B">
        <w:rPr>
          <w:lang w:val="en-GB"/>
        </w:rPr>
        <w:t xml:space="preserve"> </w:t>
      </w:r>
      <w:r w:rsidR="00285A13" w:rsidRPr="00285A13">
        <w:t>www.scd.stfc.ac.uk/Pages/home.aspx</w:t>
      </w:r>
    </w:p>
    <w:p w14:paraId="6873F387" w14:textId="084DA651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ED73E8">
        <w:rPr>
          <w:color w:val="000000"/>
          <w:sz w:val="24"/>
        </w:rPr>
        <w:t xml:space="preserve">High Performance Computing, Data Science, Scientific Visualization, </w:t>
      </w:r>
      <w:r w:rsidR="003C7FBE">
        <w:rPr>
          <w:color w:val="000000"/>
          <w:sz w:val="24"/>
        </w:rPr>
        <w:t>Enabling Technologies, Software</w:t>
      </w:r>
      <w:r w:rsidR="0091061D">
        <w:rPr>
          <w:color w:val="000000"/>
          <w:sz w:val="24"/>
        </w:rPr>
        <w:t>.</w:t>
      </w:r>
    </w:p>
    <w:p w14:paraId="435274E8" w14:textId="77777777" w:rsidR="000937C2" w:rsidRDefault="000937C2">
      <w:pPr>
        <w:pStyle w:val="NormalWCCM"/>
        <w:ind w:firstLine="0"/>
      </w:pPr>
    </w:p>
    <w:p w14:paraId="4D5BD394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3CDA88FA" w14:textId="609431B8" w:rsidR="003C7FBE" w:rsidRP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C7FBE">
        <w:rPr>
          <w:color w:val="000000"/>
          <w:lang w:val="en-GB"/>
        </w:rPr>
        <w:t xml:space="preserve">In the present days, since more and more powerful heterogeneous supercomputers are continuously emerging, scientists and engineers have been facing unprecedented challenges </w:t>
      </w:r>
      <w:r w:rsidR="00C947AD">
        <w:rPr>
          <w:color w:val="000000"/>
          <w:lang w:val="en-GB"/>
        </w:rPr>
        <w:t>to</w:t>
      </w:r>
      <w:r w:rsidRPr="003C7FBE">
        <w:rPr>
          <w:color w:val="000000"/>
          <w:lang w:val="en-GB"/>
        </w:rPr>
        <w:t xml:space="preserve"> adapt their scientific and engineering simulation codes to these massively parallel computers, aimed at solving problems involving complex physics and </w:t>
      </w:r>
      <w:r w:rsidR="00C947AD">
        <w:rPr>
          <w:color w:val="000000"/>
          <w:lang w:val="en-GB"/>
        </w:rPr>
        <w:t>configurations</w:t>
      </w:r>
      <w:r w:rsidR="00C947AD" w:rsidRPr="003C7FBE">
        <w:rPr>
          <w:color w:val="000000"/>
          <w:lang w:val="en-GB"/>
        </w:rPr>
        <w:t xml:space="preserve"> </w:t>
      </w:r>
      <w:r w:rsidRPr="003C7FBE">
        <w:rPr>
          <w:color w:val="000000"/>
          <w:lang w:val="en-GB"/>
        </w:rPr>
        <w:t xml:space="preserve">more efficiently and accurately. This </w:t>
      </w:r>
      <w:proofErr w:type="gramStart"/>
      <w:r w:rsidRPr="003C7FBE">
        <w:rPr>
          <w:color w:val="000000"/>
          <w:lang w:val="en-GB"/>
        </w:rPr>
        <w:t>mini-symposium</w:t>
      </w:r>
      <w:proofErr w:type="gramEnd"/>
      <w:r w:rsidRPr="003C7FBE">
        <w:rPr>
          <w:color w:val="000000"/>
          <w:lang w:val="en-GB"/>
        </w:rPr>
        <w:t xml:space="preserve"> intends to provide a forum for attendees to exchange information, share best practices, and to keep </w:t>
      </w:r>
      <w:r w:rsidR="00C947AD">
        <w:rPr>
          <w:color w:val="000000"/>
          <w:lang w:val="en-GB"/>
        </w:rPr>
        <w:t>everybody involved aware</w:t>
      </w:r>
      <w:r w:rsidR="00C947AD" w:rsidRPr="003C7FBE">
        <w:rPr>
          <w:color w:val="000000"/>
          <w:lang w:val="en-GB"/>
        </w:rPr>
        <w:t xml:space="preserve"> </w:t>
      </w:r>
      <w:r w:rsidRPr="003C7FBE">
        <w:rPr>
          <w:color w:val="000000"/>
          <w:lang w:val="en-GB"/>
        </w:rPr>
        <w:t>on the rapidly evolving information technologies impacting computational simulation, in particular, those extensively involved in the simulation process as well as in the design of a simulation code. The M</w:t>
      </w:r>
      <w:r>
        <w:rPr>
          <w:color w:val="000000"/>
          <w:lang w:val="en-GB"/>
        </w:rPr>
        <w:t xml:space="preserve">ini </w:t>
      </w:r>
      <w:r w:rsidRPr="003C7FBE">
        <w:rPr>
          <w:color w:val="000000"/>
          <w:lang w:val="en-GB"/>
        </w:rPr>
        <w:t>S</w:t>
      </w:r>
      <w:r>
        <w:rPr>
          <w:color w:val="000000"/>
          <w:lang w:val="en-GB"/>
        </w:rPr>
        <w:t>ymposium</w:t>
      </w:r>
      <w:r w:rsidRPr="003C7FBE">
        <w:rPr>
          <w:color w:val="000000"/>
          <w:lang w:val="en-GB"/>
        </w:rPr>
        <w:t xml:space="preserve"> topics cover (but are not limited to):</w:t>
      </w:r>
    </w:p>
    <w:p w14:paraId="26C5C5B3" w14:textId="77777777" w:rsidR="003C7FBE" w:rsidRP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</w:p>
    <w:p w14:paraId="45A9E456" w14:textId="3C3E3CC7" w:rsidR="003C7FBE" w:rsidRP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C7FBE">
        <w:rPr>
          <w:color w:val="000000"/>
          <w:lang w:val="en-GB"/>
        </w:rPr>
        <w:t xml:space="preserve">High-performance computing towards </w:t>
      </w:r>
      <w:proofErr w:type="gramStart"/>
      <w:r w:rsidRPr="003C7FBE">
        <w:rPr>
          <w:color w:val="000000"/>
          <w:lang w:val="en-GB"/>
        </w:rPr>
        <w:t>extreme-scale</w:t>
      </w:r>
      <w:proofErr w:type="gramEnd"/>
      <w:r w:rsidR="00C947AD">
        <w:rPr>
          <w:color w:val="000000"/>
          <w:lang w:val="en-GB"/>
        </w:rPr>
        <w:t xml:space="preserve"> (pre- to </w:t>
      </w:r>
      <w:proofErr w:type="spellStart"/>
      <w:r w:rsidR="00C947AD">
        <w:rPr>
          <w:color w:val="000000"/>
          <w:lang w:val="en-GB"/>
        </w:rPr>
        <w:t>Exascale</w:t>
      </w:r>
      <w:proofErr w:type="spellEnd"/>
      <w:r w:rsidR="00C947AD">
        <w:rPr>
          <w:color w:val="000000"/>
          <w:lang w:val="en-GB"/>
        </w:rPr>
        <w:t>)</w:t>
      </w:r>
    </w:p>
    <w:p w14:paraId="0C3E2691" w14:textId="30443F14" w:rsidR="003C7FBE" w:rsidRP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C7FBE">
        <w:rPr>
          <w:color w:val="000000"/>
          <w:lang w:val="en-GB"/>
        </w:rPr>
        <w:t xml:space="preserve">Common functional interfaces </w:t>
      </w:r>
      <w:r w:rsidR="00C947AD">
        <w:rPr>
          <w:color w:val="000000"/>
          <w:lang w:val="en-GB"/>
        </w:rPr>
        <w:t>between</w:t>
      </w:r>
      <w:r w:rsidRPr="003C7FBE">
        <w:rPr>
          <w:color w:val="000000"/>
          <w:lang w:val="en-GB"/>
        </w:rPr>
        <w:t xml:space="preserve"> geometry, mesh, and other simulation data</w:t>
      </w:r>
    </w:p>
    <w:p w14:paraId="475A478A" w14:textId="77777777" w:rsidR="003C7FBE" w:rsidRP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C7FBE">
        <w:rPr>
          <w:color w:val="000000"/>
          <w:lang w:val="en-GB"/>
        </w:rPr>
        <w:t>Computational environments for advanced scientific and engineering computation</w:t>
      </w:r>
    </w:p>
    <w:p w14:paraId="6D77622E" w14:textId="77777777" w:rsidR="003C7FBE" w:rsidRP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C7FBE">
        <w:rPr>
          <w:color w:val="000000"/>
          <w:lang w:val="en-GB"/>
        </w:rPr>
        <w:t>Digital prototyping techniques</w:t>
      </w:r>
    </w:p>
    <w:p w14:paraId="17FE71E1" w14:textId="21A98EFC" w:rsid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C7FBE">
        <w:rPr>
          <w:color w:val="000000"/>
          <w:lang w:val="en-GB"/>
        </w:rPr>
        <w:lastRenderedPageBreak/>
        <w:t>Enabling software technologies</w:t>
      </w:r>
    </w:p>
    <w:p w14:paraId="00DF27ED" w14:textId="00B32E25" w:rsidR="003C7FBE" w:rsidRP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Data science in computational mechanics applications</w:t>
      </w:r>
    </w:p>
    <w:p w14:paraId="64926CC7" w14:textId="77777777" w:rsidR="003C7FBE" w:rsidRP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C7FBE">
        <w:rPr>
          <w:color w:val="000000"/>
          <w:lang w:val="en-GB"/>
        </w:rPr>
        <w:t>Mesh generation and adaptive mesh refinement techniques</w:t>
      </w:r>
    </w:p>
    <w:p w14:paraId="52A93521" w14:textId="77777777" w:rsidR="003C7FBE" w:rsidRP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C7FBE">
        <w:rPr>
          <w:color w:val="000000"/>
          <w:lang w:val="en-GB"/>
        </w:rPr>
        <w:t>Software libraries and applications to multi-scale multi-physics problems</w:t>
      </w:r>
    </w:p>
    <w:p w14:paraId="40680423" w14:textId="77777777" w:rsidR="003C7FBE" w:rsidRP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C7FBE">
        <w:rPr>
          <w:color w:val="000000"/>
          <w:lang w:val="en-GB"/>
        </w:rPr>
        <w:t xml:space="preserve">Software techniques (such as middleware techniques) towards </w:t>
      </w:r>
      <w:proofErr w:type="gramStart"/>
      <w:r w:rsidRPr="003C7FBE">
        <w:rPr>
          <w:color w:val="000000"/>
          <w:lang w:val="en-GB"/>
        </w:rPr>
        <w:t>extreme-scale</w:t>
      </w:r>
      <w:proofErr w:type="gramEnd"/>
    </w:p>
    <w:p w14:paraId="717381B0" w14:textId="77777777" w:rsidR="003C7FBE" w:rsidRP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C7FBE">
        <w:rPr>
          <w:color w:val="000000"/>
          <w:lang w:val="en-GB"/>
        </w:rPr>
        <w:t xml:space="preserve">Supporting tools in performance evaluation, visualization, </w:t>
      </w:r>
      <w:proofErr w:type="gramStart"/>
      <w:r w:rsidRPr="003C7FBE">
        <w:rPr>
          <w:color w:val="000000"/>
          <w:lang w:val="en-GB"/>
        </w:rPr>
        <w:t>verification</w:t>
      </w:r>
      <w:proofErr w:type="gramEnd"/>
      <w:r w:rsidRPr="003C7FBE">
        <w:rPr>
          <w:color w:val="000000"/>
          <w:lang w:val="en-GB"/>
        </w:rPr>
        <w:t xml:space="preserve"> and validation</w:t>
      </w:r>
    </w:p>
    <w:p w14:paraId="77432802" w14:textId="77777777" w:rsidR="003C7FBE" w:rsidRP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C7FBE">
        <w:rPr>
          <w:color w:val="000000"/>
          <w:lang w:val="en-GB"/>
        </w:rPr>
        <w:t>Scientific workflows, theoretical frameworks, methodology and algorithms for Uncertainty Quantification</w:t>
      </w:r>
    </w:p>
    <w:p w14:paraId="6662C44B" w14:textId="4146A29E" w:rsidR="003C7FBE" w:rsidRPr="003C7FBE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C7FBE">
        <w:rPr>
          <w:color w:val="000000"/>
          <w:lang w:val="en-GB"/>
        </w:rPr>
        <w:t>Potential deman</w:t>
      </w:r>
      <w:r w:rsidR="00C947AD">
        <w:rPr>
          <w:color w:val="000000"/>
          <w:lang w:val="en-GB"/>
        </w:rPr>
        <w:t>d for</w:t>
      </w:r>
      <w:r w:rsidRPr="003C7FBE">
        <w:rPr>
          <w:color w:val="000000"/>
          <w:lang w:val="en-GB"/>
        </w:rPr>
        <w:t xml:space="preserve"> large-scale computational applications</w:t>
      </w:r>
    </w:p>
    <w:p w14:paraId="76115CEA" w14:textId="583E8C39" w:rsidR="003C7FBE" w:rsidRPr="003C7FBE" w:rsidRDefault="00C947AD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Best p</w:t>
      </w:r>
      <w:r w:rsidR="003C7FBE" w:rsidRPr="003C7FBE">
        <w:rPr>
          <w:color w:val="000000"/>
          <w:lang w:val="en-GB"/>
        </w:rPr>
        <w:t xml:space="preserve">ractice </w:t>
      </w:r>
      <w:r>
        <w:rPr>
          <w:color w:val="000000"/>
          <w:lang w:val="en-GB"/>
        </w:rPr>
        <w:t>for</w:t>
      </w:r>
      <w:r w:rsidR="003C7FBE" w:rsidRPr="003C7FBE">
        <w:rPr>
          <w:color w:val="000000"/>
          <w:lang w:val="en-GB"/>
        </w:rPr>
        <w:t xml:space="preserve"> large-scale numerical simulation</w:t>
      </w:r>
    </w:p>
    <w:p w14:paraId="62A1C4BC" w14:textId="772EDB1A" w:rsidR="000937C2" w:rsidRDefault="003C7FBE" w:rsidP="003C7FB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C7FBE">
        <w:rPr>
          <w:color w:val="000000"/>
          <w:lang w:val="en-GB"/>
        </w:rPr>
        <w:t>Programming models for multi-core and accelerators</w:t>
      </w:r>
    </w:p>
    <w:p w14:paraId="5B986B0E" w14:textId="035AA6C9" w:rsidR="006B0E0D" w:rsidRPr="006E077B" w:rsidRDefault="006B0E0D" w:rsidP="003C7FBE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US"/>
        </w:rPr>
      </w:pPr>
      <w:proofErr w:type="spellStart"/>
      <w:r>
        <w:rPr>
          <w:color w:val="000000"/>
          <w:lang w:val="en-GB"/>
        </w:rPr>
        <w:t>Artifical</w:t>
      </w:r>
      <w:proofErr w:type="spellEnd"/>
      <w:r>
        <w:rPr>
          <w:color w:val="000000"/>
          <w:lang w:val="en-GB"/>
        </w:rPr>
        <w:t xml:space="preserve"> intelligence and HPC</w:t>
      </w:r>
    </w:p>
    <w:sectPr w:rsidR="006B0E0D" w:rsidRPr="006E077B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BFF0" w14:textId="77777777" w:rsidR="00583163" w:rsidRDefault="00583163">
      <w:r>
        <w:separator/>
      </w:r>
    </w:p>
  </w:endnote>
  <w:endnote w:type="continuationSeparator" w:id="0">
    <w:p w14:paraId="2CBB017F" w14:textId="77777777" w:rsidR="00583163" w:rsidRDefault="0058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C93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FFB67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C5E4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7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68423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AF3F" w14:textId="77777777" w:rsidR="00583163" w:rsidRDefault="00583163">
      <w:r>
        <w:separator/>
      </w:r>
    </w:p>
  </w:footnote>
  <w:footnote w:type="continuationSeparator" w:id="0">
    <w:p w14:paraId="6BA16611" w14:textId="77777777" w:rsidR="00583163" w:rsidRDefault="0058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667C" w14:textId="649E8D39" w:rsidR="00C93602" w:rsidRPr="006E077B" w:rsidRDefault="00C93602">
    <w:pPr>
      <w:pStyle w:val="Header2WCCM"/>
    </w:pPr>
    <w:r>
      <w:t xml:space="preserve"> </w:t>
    </w:r>
    <w:r w:rsidR="006E077B">
      <w:t xml:space="preserve">A. </w:t>
    </w:r>
    <w:r w:rsidR="006E077B" w:rsidRPr="006E077B">
      <w:t xml:space="preserve">L.G.A. Coutinho, B. Barth, G. </w:t>
    </w:r>
    <w:proofErr w:type="spellStart"/>
    <w:r w:rsidR="006E077B" w:rsidRPr="006E077B">
      <w:t>Houzeaux</w:t>
    </w:r>
    <w:proofErr w:type="spellEnd"/>
    <w:r w:rsidR="006E077B" w:rsidRPr="006E077B">
      <w:t xml:space="preserve"> and C</w:t>
    </w:r>
    <w:r w:rsidR="006E077B">
      <w:t xml:space="preserve">. </w:t>
    </w:r>
    <w:proofErr w:type="spellStart"/>
    <w:r w:rsidR="006E077B">
      <w:t>Moulinec</w:t>
    </w:r>
    <w:proofErr w:type="spellEnd"/>
    <w: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3468" w14:textId="77777777" w:rsidR="008C35F7" w:rsidRPr="007A5B1C" w:rsidRDefault="008C35F7" w:rsidP="008C35F7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(</w:t>
    </w:r>
    <w:r>
      <w:rPr>
        <w:b/>
        <w:sz w:val="18"/>
        <w:szCs w:val="18"/>
        <w:lang w:val="en-US"/>
      </w:rPr>
      <w:t>ECCOMA2022</w:t>
    </w:r>
    <w:r w:rsidRPr="007A5B1C">
      <w:rPr>
        <w:b/>
        <w:sz w:val="18"/>
        <w:szCs w:val="18"/>
        <w:lang w:val="en-US"/>
      </w:rPr>
      <w:t>)</w:t>
    </w:r>
  </w:p>
  <w:p w14:paraId="37EA4FD4" w14:textId="099F872F" w:rsidR="00C93602" w:rsidRPr="008C35F7" w:rsidRDefault="008C35F7" w:rsidP="008C35F7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>
      <w:rPr>
        <w:b/>
        <w:bCs/>
        <w:i/>
        <w:sz w:val="18"/>
        <w:szCs w:val="18"/>
        <w:lang w:val="en-GB"/>
      </w:rPr>
      <w:t>ne</w:t>
    </w:r>
    <w:r w:rsidRPr="007A5B1C">
      <w:rPr>
        <w:b/>
        <w:bCs/>
        <w:i/>
        <w:sz w:val="18"/>
        <w:szCs w:val="18"/>
        <w:lang w:val="en-GB"/>
      </w:rPr>
      <w:t xml:space="preserve"> </w:t>
    </w:r>
    <w:r>
      <w:rPr>
        <w:b/>
        <w:bCs/>
        <w:i/>
        <w:sz w:val="18"/>
        <w:szCs w:val="18"/>
        <w:lang w:val="en-GB"/>
      </w:rPr>
      <w:t>5-9</w:t>
    </w:r>
    <w:r w:rsidRPr="007A5B1C">
      <w:rPr>
        <w:b/>
        <w:bCs/>
        <w:i/>
        <w:sz w:val="18"/>
        <w:szCs w:val="18"/>
        <w:lang w:val="en-GB"/>
      </w:rPr>
      <w:t>, 20</w:t>
    </w:r>
    <w:r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63C57BF"/>
    <w:multiLevelType w:val="multilevel"/>
    <w:tmpl w:val="0AEE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74"/>
    <w:rsid w:val="000204EE"/>
    <w:rsid w:val="00052774"/>
    <w:rsid w:val="000937C2"/>
    <w:rsid w:val="000C31A7"/>
    <w:rsid w:val="000E3F6B"/>
    <w:rsid w:val="000F4C18"/>
    <w:rsid w:val="00156314"/>
    <w:rsid w:val="00206962"/>
    <w:rsid w:val="00285A13"/>
    <w:rsid w:val="002A6B2B"/>
    <w:rsid w:val="003C7FBE"/>
    <w:rsid w:val="003E6163"/>
    <w:rsid w:val="00415405"/>
    <w:rsid w:val="00555774"/>
    <w:rsid w:val="00583163"/>
    <w:rsid w:val="005A6C4F"/>
    <w:rsid w:val="005A7F0E"/>
    <w:rsid w:val="00645FDD"/>
    <w:rsid w:val="00695FA1"/>
    <w:rsid w:val="006B010E"/>
    <w:rsid w:val="006B0E0D"/>
    <w:rsid w:val="006E077B"/>
    <w:rsid w:val="007C1C38"/>
    <w:rsid w:val="00820C95"/>
    <w:rsid w:val="008C35F7"/>
    <w:rsid w:val="009017CD"/>
    <w:rsid w:val="0091061D"/>
    <w:rsid w:val="00952EDD"/>
    <w:rsid w:val="009771D8"/>
    <w:rsid w:val="009A0CF3"/>
    <w:rsid w:val="009A2C54"/>
    <w:rsid w:val="00A334C4"/>
    <w:rsid w:val="00A77A3F"/>
    <w:rsid w:val="00B401D6"/>
    <w:rsid w:val="00C0423D"/>
    <w:rsid w:val="00C42322"/>
    <w:rsid w:val="00C93602"/>
    <w:rsid w:val="00C947AD"/>
    <w:rsid w:val="00CC0C75"/>
    <w:rsid w:val="00D52305"/>
    <w:rsid w:val="00E154C5"/>
    <w:rsid w:val="00E51C67"/>
    <w:rsid w:val="00ED0533"/>
    <w:rsid w:val="00ED6A0A"/>
    <w:rsid w:val="00ED73E8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76BA5A"/>
  <w15:docId w15:val="{F8270930-F7DB-8A40-8D1C-587B1004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E07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3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E077B"/>
    <w:rPr>
      <w:b/>
      <w:bCs/>
      <w:kern w:val="36"/>
      <w:sz w:val="48"/>
      <w:szCs w:val="48"/>
      <w:lang w:val="uz-Cyrl-UZ" w:eastAsia="en-GB"/>
    </w:rPr>
  </w:style>
  <w:style w:type="character" w:styleId="CommentReference">
    <w:name w:val="annotation reference"/>
    <w:basedOn w:val="DefaultParagraphFont"/>
    <w:semiHidden/>
    <w:unhideWhenUsed/>
    <w:rsid w:val="00C947A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947AD"/>
  </w:style>
  <w:style w:type="character" w:customStyle="1" w:styleId="CommentTextChar">
    <w:name w:val="Comment Text Char"/>
    <w:basedOn w:val="DefaultParagraphFont"/>
    <w:link w:val="CommentText"/>
    <w:semiHidden/>
    <w:rsid w:val="00C947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47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947A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rth@tacc.utexas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varo@nacad.ufrj.b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rles.moulinec@stfc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s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cc.utexas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3051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Guillaume Houzeaux</cp:lastModifiedBy>
  <cp:revision>23</cp:revision>
  <cp:lastPrinted>2012-05-23T07:35:00Z</cp:lastPrinted>
  <dcterms:created xsi:type="dcterms:W3CDTF">2016-06-02T13:23:00Z</dcterms:created>
  <dcterms:modified xsi:type="dcterms:W3CDTF">2021-08-04T13:00:00Z</dcterms:modified>
</cp:coreProperties>
</file>