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0083" w14:textId="23531867" w:rsidR="00F82FB0" w:rsidRDefault="00F82FB0" w:rsidP="00F039C5">
      <w:pPr>
        <w:pStyle w:val="PaperTitleWCCM"/>
        <w:jc w:val="center"/>
      </w:pPr>
      <w:r w:rsidRPr="00F82FB0">
        <w:t xml:space="preserve">Machine learning and data-driven approaches for </w:t>
      </w:r>
      <w:r w:rsidR="009E5680">
        <w:t>AERODYNAMIC ANALYSIS</w:t>
      </w:r>
      <w:r w:rsidRPr="00F82FB0">
        <w:t xml:space="preserve"> and uncertainty quantification     </w:t>
      </w:r>
    </w:p>
    <w:p w14:paraId="03DAFBBC" w14:textId="280CBDB7"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Pr="00F039C5">
        <w:rPr>
          <w:rFonts w:asciiTheme="majorBidi" w:hAnsiTheme="majorBidi" w:cstheme="majorBidi"/>
          <w:sz w:val="24"/>
          <w:szCs w:val="24"/>
          <w:lang w:val="en-GB" w:eastAsia="it-IT"/>
        </w:rPr>
        <w:t>(</w:t>
      </w:r>
      <w:r w:rsidR="00F82FB0">
        <w:rPr>
          <w:rFonts w:asciiTheme="majorBidi" w:hAnsiTheme="majorBidi" w:cstheme="majorBidi"/>
          <w:sz w:val="24"/>
          <w:szCs w:val="24"/>
          <w:lang w:val="en-GB" w:eastAsia="it-IT"/>
        </w:rPr>
        <w:t>2000</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14:paraId="02F8093B" w14:textId="72D43B56" w:rsidR="000937C2" w:rsidRDefault="00F82FB0">
      <w:pPr>
        <w:pStyle w:val="PaperTitleWCCM"/>
        <w:jc w:val="center"/>
        <w:rPr>
          <w:sz w:val="24"/>
        </w:rPr>
      </w:pPr>
      <w:r>
        <w:rPr>
          <w:sz w:val="24"/>
        </w:rPr>
        <w:t>Esther Andrés-Pérez</w:t>
      </w:r>
    </w:p>
    <w:p w14:paraId="1AD40597" w14:textId="35A3286F" w:rsidR="00F82FB0" w:rsidRPr="000F4C18" w:rsidRDefault="00F82FB0" w:rsidP="00F82FB0">
      <w:pPr>
        <w:pStyle w:val="LiteWCCM"/>
      </w:pPr>
      <w:r w:rsidRPr="000F4C18">
        <w:rPr>
          <w:position w:val="11"/>
          <w:sz w:val="16"/>
          <w:szCs w:val="16"/>
        </w:rPr>
        <w:t>*</w:t>
      </w:r>
      <w:r w:rsidRPr="000F4C18">
        <w:tab/>
      </w:r>
      <w:r>
        <w:t>Flight Physics Department</w:t>
      </w:r>
      <w:r>
        <w:t xml:space="preserve"> (INTA)</w:t>
      </w:r>
    </w:p>
    <w:p w14:paraId="52E73E22" w14:textId="77777777" w:rsidR="00F82FB0" w:rsidRPr="002B09A0" w:rsidRDefault="00F82FB0" w:rsidP="00F82FB0">
      <w:pPr>
        <w:pStyle w:val="LiteWCCM"/>
        <w:rPr>
          <w:lang w:val="es-ES"/>
        </w:rPr>
      </w:pPr>
      <w:r w:rsidRPr="00F82FB0">
        <w:rPr>
          <w:lang w:val="es-ES"/>
        </w:rPr>
        <w:t xml:space="preserve">Ctra. </w:t>
      </w:r>
      <w:r w:rsidRPr="002B09A0">
        <w:rPr>
          <w:lang w:val="es-ES"/>
        </w:rPr>
        <w:t>De Ajalvir km. 4.5 28850 Torrejón de Ardoz (Spain)</w:t>
      </w:r>
    </w:p>
    <w:p w14:paraId="0C4774BF" w14:textId="472B9DF4" w:rsidR="00F82FB0" w:rsidRPr="002B09A0" w:rsidRDefault="00F82FB0" w:rsidP="00F82FB0">
      <w:pPr>
        <w:pStyle w:val="LiteWCCM"/>
        <w:rPr>
          <w:lang w:val="es-ES"/>
        </w:rPr>
      </w:pPr>
      <w:hyperlink r:id="rId7" w:history="1">
        <w:r w:rsidRPr="00CD5A93">
          <w:rPr>
            <w:rStyle w:val="Hipervnculo"/>
            <w:lang w:val="es-ES"/>
          </w:rPr>
          <w:t>eandper@inta.es</w:t>
        </w:r>
      </w:hyperlink>
      <w:r w:rsidRPr="002B09A0">
        <w:rPr>
          <w:lang w:val="es-ES"/>
        </w:rPr>
        <w:t xml:space="preserve">, </w:t>
      </w:r>
      <w:hyperlink r:id="rId8" w:history="1">
        <w:r w:rsidRPr="001F25E8">
          <w:rPr>
            <w:rStyle w:val="Hipervnculo"/>
            <w:lang w:val="es-ES"/>
          </w:rPr>
          <w:t>www.inta.es</w:t>
        </w:r>
      </w:hyperlink>
      <w:r>
        <w:rPr>
          <w:lang w:val="es-ES"/>
        </w:rPr>
        <w:t xml:space="preserve"> </w:t>
      </w:r>
    </w:p>
    <w:p w14:paraId="213BAA51" w14:textId="69539909" w:rsidR="000937C2" w:rsidRDefault="000937C2">
      <w:pPr>
        <w:pStyle w:val="NormalWCCM"/>
        <w:spacing w:before="240"/>
        <w:ind w:firstLine="0"/>
        <w:rPr>
          <w:color w:val="000000"/>
          <w:sz w:val="24"/>
        </w:rPr>
      </w:pPr>
      <w:r w:rsidRPr="00B401D6">
        <w:rPr>
          <w:b/>
          <w:bCs/>
          <w:color w:val="000000"/>
          <w:sz w:val="24"/>
        </w:rPr>
        <w:t>Key words:</w:t>
      </w:r>
      <w:r w:rsidR="00F82FB0">
        <w:rPr>
          <w:color w:val="000000"/>
          <w:sz w:val="24"/>
        </w:rPr>
        <w:t xml:space="preserve"> f</w:t>
      </w:r>
      <w:r w:rsidR="0091061D">
        <w:rPr>
          <w:color w:val="000000"/>
          <w:sz w:val="24"/>
        </w:rPr>
        <w:t xml:space="preserve">luid </w:t>
      </w:r>
      <w:r w:rsidR="00F82FB0">
        <w:rPr>
          <w:color w:val="000000"/>
          <w:sz w:val="24"/>
        </w:rPr>
        <w:t>d</w:t>
      </w:r>
      <w:r w:rsidR="0091061D">
        <w:rPr>
          <w:color w:val="000000"/>
          <w:sz w:val="24"/>
        </w:rPr>
        <w:t>ynamics</w:t>
      </w:r>
      <w:r w:rsidR="00F82FB0">
        <w:rPr>
          <w:color w:val="000000"/>
          <w:sz w:val="24"/>
        </w:rPr>
        <w:t>, machine learning, aerodynamic analysis, uncertainty quantification</w:t>
      </w:r>
    </w:p>
    <w:p w14:paraId="0901BA19" w14:textId="77777777" w:rsidR="000937C2" w:rsidRDefault="000937C2">
      <w:pPr>
        <w:pStyle w:val="NormalWCCM"/>
        <w:ind w:firstLine="0"/>
      </w:pPr>
    </w:p>
    <w:p w14:paraId="224D0E4D" w14:textId="77777777" w:rsidR="000937C2" w:rsidRDefault="000937C2">
      <w:pPr>
        <w:pStyle w:val="1stTitleWCCM"/>
        <w:spacing w:before="0"/>
        <w:jc w:val="center"/>
        <w:outlineLvl w:val="0"/>
        <w:rPr>
          <w:sz w:val="24"/>
        </w:rPr>
      </w:pPr>
      <w:r>
        <w:rPr>
          <w:sz w:val="24"/>
        </w:rPr>
        <w:t>ABSTRACT</w:t>
      </w:r>
    </w:p>
    <w:p w14:paraId="1C49A906" w14:textId="24F2E336" w:rsidR="00FE219B" w:rsidRDefault="00FE219B" w:rsidP="008901CD">
      <w:pPr>
        <w:ind w:firstLine="708"/>
        <w:jc w:val="both"/>
        <w:rPr>
          <w:sz w:val="23"/>
          <w:szCs w:val="23"/>
          <w:lang w:val="en-AU"/>
        </w:rPr>
      </w:pPr>
      <w:r w:rsidRPr="00FE219B">
        <w:rPr>
          <w:sz w:val="23"/>
          <w:szCs w:val="23"/>
          <w:lang w:val="en-AU"/>
        </w:rPr>
        <w:t>In recent years, the production of huge amount of data in computational sciences has made attractive the capability to exploit such data to extract knowledge and enhance the prediction level. In aerodynamics, parametric studies, trade-off analyses and optimizations represent a precious information tank which could foster the usage of data-driven and data-fusion models in engineering practice</w:t>
      </w:r>
      <w:r>
        <w:rPr>
          <w:sz w:val="23"/>
          <w:szCs w:val="23"/>
          <w:lang w:val="en-AU"/>
        </w:rPr>
        <w:t xml:space="preserve"> [1-3]</w:t>
      </w:r>
      <w:r w:rsidRPr="00FE219B">
        <w:rPr>
          <w:sz w:val="23"/>
          <w:szCs w:val="23"/>
          <w:lang w:val="en-AU"/>
        </w:rPr>
        <w:t xml:space="preserve">. However, the maturity level of such models is quite low and the associated best practice is still in the preliminary stage: on one hand, machine learning techniques and neural networks are well-known and offer a wide range of choice for different purposes, from cluster analysis and dimensionality reduction to classification and regression; on the other hand, the type and preparation of aerodynamic/geometric data to be handled is not straightforward and may strongly depend on the real scope of the task, giving rise to widely different interpretations and forms of the data-driven application. </w:t>
      </w:r>
    </w:p>
    <w:p w14:paraId="47B0C3BD" w14:textId="317AABE2" w:rsidR="00FE219B" w:rsidRDefault="00FE219B" w:rsidP="008901CD">
      <w:pPr>
        <w:ind w:firstLine="708"/>
        <w:jc w:val="both"/>
        <w:rPr>
          <w:sz w:val="23"/>
          <w:szCs w:val="23"/>
          <w:lang w:val="en-AU"/>
        </w:rPr>
      </w:pPr>
      <w:r w:rsidRPr="00FE219B">
        <w:rPr>
          <w:sz w:val="23"/>
          <w:szCs w:val="23"/>
          <w:lang w:val="en-AU"/>
        </w:rPr>
        <w:t>Machine learning techniques commonly used in the area of Artificial Intelligence (AI) and Data Mining (DM) can represent a valuable support to reduce the computational cost required for aerodynamic analysis and uncertainty quantification.</w:t>
      </w:r>
      <w:r w:rsidR="00BA4C89">
        <w:rPr>
          <w:sz w:val="23"/>
          <w:szCs w:val="23"/>
          <w:lang w:val="en-AU"/>
        </w:rPr>
        <w:t xml:space="preserve"> </w:t>
      </w:r>
    </w:p>
    <w:p w14:paraId="0BCAC472" w14:textId="22D393E6" w:rsidR="008901CD" w:rsidRDefault="008901CD" w:rsidP="008901CD">
      <w:pPr>
        <w:ind w:firstLine="708"/>
        <w:jc w:val="both"/>
        <w:rPr>
          <w:lang w:val="en-US"/>
        </w:rPr>
      </w:pPr>
      <w:r w:rsidRPr="00D2232C">
        <w:rPr>
          <w:lang w:val="en-US"/>
        </w:rPr>
        <w:t xml:space="preserve">This minisymposium aims at collecting and disseminating new ideas in </w:t>
      </w:r>
      <w:r w:rsidRPr="00DE32CA">
        <w:rPr>
          <w:lang w:val="en-US"/>
        </w:rPr>
        <w:t xml:space="preserve">application of machine learning and data-driven approaches for </w:t>
      </w:r>
      <w:r w:rsidR="00FE219B">
        <w:rPr>
          <w:lang w:val="en-US"/>
        </w:rPr>
        <w:t>aerodynamic analysis</w:t>
      </w:r>
      <w:r w:rsidRPr="00DE32CA">
        <w:rPr>
          <w:lang w:val="en-US"/>
        </w:rPr>
        <w:t xml:space="preserve"> and uncertainty quantification</w:t>
      </w:r>
      <w:r>
        <w:rPr>
          <w:lang w:val="en-US"/>
        </w:rPr>
        <w:t xml:space="preserve"> focusing on </w:t>
      </w:r>
      <w:r w:rsidRPr="00D2232C">
        <w:rPr>
          <w:lang w:val="en-US"/>
        </w:rPr>
        <w:t xml:space="preserve">real world problems. </w:t>
      </w:r>
      <w:r w:rsidR="007003F3">
        <w:rPr>
          <w:lang w:val="en-US"/>
        </w:rPr>
        <w:t>This minisymposium also aims to disseminate the main activities and results of the GARTEUR action group AD/AG60</w:t>
      </w:r>
      <w:r w:rsidR="00E539B3">
        <w:rPr>
          <w:lang w:val="en-US"/>
        </w:rPr>
        <w:t xml:space="preserve"> on this topic</w:t>
      </w:r>
      <w:r w:rsidR="007003F3">
        <w:rPr>
          <w:lang w:val="en-US"/>
        </w:rPr>
        <w:t>.</w:t>
      </w:r>
    </w:p>
    <w:p w14:paraId="0D13A614" w14:textId="77777777" w:rsidR="007003F3" w:rsidRPr="00D2232C" w:rsidRDefault="007003F3" w:rsidP="008901CD">
      <w:pPr>
        <w:ind w:firstLine="708"/>
        <w:jc w:val="both"/>
        <w:rPr>
          <w:lang w:val="en-US"/>
        </w:rPr>
      </w:pPr>
    </w:p>
    <w:p w14:paraId="33BB6D2A" w14:textId="77777777" w:rsidR="000937C2" w:rsidRPr="005027D0" w:rsidRDefault="000937C2">
      <w:pPr>
        <w:pStyle w:val="Textoindependiente"/>
        <w:spacing w:before="120" w:after="240" w:line="240" w:lineRule="atLeast"/>
        <w:jc w:val="center"/>
        <w:rPr>
          <w:b/>
          <w:color w:val="000000"/>
          <w:sz w:val="24"/>
          <w:szCs w:val="24"/>
          <w:lang w:val="en-GB"/>
        </w:rPr>
      </w:pPr>
      <w:r w:rsidRPr="005027D0">
        <w:rPr>
          <w:b/>
          <w:color w:val="000000"/>
          <w:sz w:val="24"/>
          <w:szCs w:val="24"/>
          <w:lang w:val="en-GB"/>
        </w:rPr>
        <w:t>REFERENCES</w:t>
      </w:r>
    </w:p>
    <w:p w14:paraId="231B6CDE" w14:textId="3F364526" w:rsidR="00FE219B" w:rsidRPr="005027D0" w:rsidRDefault="00FE219B">
      <w:pPr>
        <w:pStyle w:val="1stTitleWCCM"/>
        <w:spacing w:before="0"/>
        <w:ind w:left="360" w:hanging="360"/>
        <w:outlineLvl w:val="0"/>
        <w:rPr>
          <w:b w:val="0"/>
          <w:bCs w:val="0"/>
          <w:caps w:val="0"/>
          <w:sz w:val="24"/>
          <w:lang w:val="en-GB"/>
        </w:rPr>
      </w:pPr>
      <w:r w:rsidRPr="005027D0">
        <w:rPr>
          <w:b w:val="0"/>
          <w:bCs w:val="0"/>
          <w:caps w:val="0"/>
          <w:sz w:val="24"/>
          <w:lang w:val="en-GB"/>
        </w:rPr>
        <w:t xml:space="preserve">[1] </w:t>
      </w:r>
      <w:r w:rsidRPr="005027D0">
        <w:rPr>
          <w:b w:val="0"/>
          <w:bCs w:val="0"/>
          <w:caps w:val="0"/>
          <w:sz w:val="24"/>
          <w:lang w:val="en-GB"/>
        </w:rPr>
        <w:t>He, Jiachuan, et al. "Data-driven uncertainty quantification for predictive flow and transport modeling using support vector machines." Computational Geosciences 23.4 (2019): 631-645.</w:t>
      </w:r>
    </w:p>
    <w:p w14:paraId="178F48FE" w14:textId="1787D7B4" w:rsidR="000937C2" w:rsidRPr="005027D0" w:rsidRDefault="000937C2">
      <w:pPr>
        <w:pStyle w:val="1stTitleWCCM"/>
        <w:spacing w:before="0"/>
        <w:ind w:left="360" w:hanging="360"/>
        <w:outlineLvl w:val="0"/>
        <w:rPr>
          <w:b w:val="0"/>
          <w:bCs w:val="0"/>
          <w:caps w:val="0"/>
          <w:sz w:val="24"/>
          <w:lang w:val="en-GB"/>
        </w:rPr>
      </w:pPr>
      <w:r w:rsidRPr="005027D0">
        <w:rPr>
          <w:b w:val="0"/>
          <w:bCs w:val="0"/>
          <w:sz w:val="24"/>
          <w:lang w:val="en-GB"/>
        </w:rPr>
        <w:sym w:font="Symbol" w:char="F05B"/>
      </w:r>
      <w:r w:rsidRPr="005027D0">
        <w:rPr>
          <w:b w:val="0"/>
          <w:bCs w:val="0"/>
          <w:sz w:val="24"/>
          <w:lang w:val="en-GB"/>
        </w:rPr>
        <w:t>2</w:t>
      </w:r>
      <w:r w:rsidRPr="005027D0">
        <w:rPr>
          <w:b w:val="0"/>
          <w:bCs w:val="0"/>
          <w:sz w:val="24"/>
          <w:lang w:val="en-GB"/>
        </w:rPr>
        <w:sym w:font="Symbol" w:char="F05D"/>
      </w:r>
      <w:r w:rsidR="005027D0">
        <w:rPr>
          <w:b w:val="0"/>
          <w:bCs w:val="0"/>
          <w:sz w:val="24"/>
          <w:lang w:val="en-GB"/>
        </w:rPr>
        <w:t xml:space="preserve"> </w:t>
      </w:r>
      <w:r w:rsidR="00FE219B" w:rsidRPr="005027D0">
        <w:rPr>
          <w:b w:val="0"/>
          <w:bCs w:val="0"/>
          <w:sz w:val="24"/>
          <w:lang w:val="en-GB"/>
        </w:rPr>
        <w:t>B</w:t>
      </w:r>
      <w:r w:rsidR="00FE219B" w:rsidRPr="005027D0">
        <w:rPr>
          <w:b w:val="0"/>
          <w:bCs w:val="0"/>
          <w:caps w:val="0"/>
          <w:sz w:val="24"/>
          <w:lang w:val="en-GB"/>
        </w:rPr>
        <w:t>runton, Steven L., Bernd R. Noack, and Petros Koumoutsakos. "Machine learning for fluid mechanics." Annual Review of Fluid Mechanics 52 (2019).</w:t>
      </w:r>
    </w:p>
    <w:p w14:paraId="59A6C97C" w14:textId="05F670EB" w:rsidR="00FE219B" w:rsidRPr="000F4C18" w:rsidRDefault="00FE219B">
      <w:pPr>
        <w:pStyle w:val="1stTitleWCCM"/>
        <w:spacing w:before="0"/>
        <w:ind w:left="360" w:hanging="360"/>
        <w:outlineLvl w:val="0"/>
        <w:rPr>
          <w:b w:val="0"/>
          <w:bCs w:val="0"/>
          <w:sz w:val="24"/>
        </w:rPr>
      </w:pPr>
      <w:r w:rsidRPr="005027D0">
        <w:rPr>
          <w:b w:val="0"/>
          <w:bCs w:val="0"/>
          <w:sz w:val="24"/>
        </w:rPr>
        <w:t xml:space="preserve">[3] </w:t>
      </w:r>
      <w:r w:rsidR="005027D0">
        <w:rPr>
          <w:b w:val="0"/>
          <w:bCs w:val="0"/>
          <w:caps w:val="0"/>
          <w:sz w:val="24"/>
        </w:rPr>
        <w:t>K</w:t>
      </w:r>
      <w:r w:rsidR="005027D0" w:rsidRPr="005027D0">
        <w:rPr>
          <w:b w:val="0"/>
          <w:bCs w:val="0"/>
          <w:caps w:val="0"/>
          <w:sz w:val="24"/>
        </w:rPr>
        <w:t xml:space="preserve">o, </w:t>
      </w:r>
      <w:r w:rsidR="005027D0">
        <w:rPr>
          <w:b w:val="0"/>
          <w:bCs w:val="0"/>
          <w:caps w:val="0"/>
          <w:sz w:val="24"/>
        </w:rPr>
        <w:t>M</w:t>
      </w:r>
      <w:r w:rsidR="005027D0" w:rsidRPr="005027D0">
        <w:rPr>
          <w:b w:val="0"/>
          <w:bCs w:val="0"/>
          <w:caps w:val="0"/>
          <w:sz w:val="24"/>
        </w:rPr>
        <w:t>yeong-</w:t>
      </w:r>
      <w:r w:rsidR="005027D0">
        <w:rPr>
          <w:b w:val="0"/>
          <w:bCs w:val="0"/>
          <w:caps w:val="0"/>
          <w:sz w:val="24"/>
        </w:rPr>
        <w:t>J</w:t>
      </w:r>
      <w:r w:rsidR="005027D0" w:rsidRPr="005027D0">
        <w:rPr>
          <w:b w:val="0"/>
          <w:bCs w:val="0"/>
          <w:caps w:val="0"/>
          <w:sz w:val="24"/>
        </w:rPr>
        <w:t xml:space="preserve">ae, </w:t>
      </w:r>
      <w:r w:rsidR="005027D0">
        <w:rPr>
          <w:b w:val="0"/>
          <w:bCs w:val="0"/>
          <w:caps w:val="0"/>
          <w:sz w:val="24"/>
        </w:rPr>
        <w:t>W</w:t>
      </w:r>
      <w:r w:rsidR="005027D0" w:rsidRPr="005027D0">
        <w:rPr>
          <w:b w:val="0"/>
          <w:bCs w:val="0"/>
          <w:caps w:val="0"/>
          <w:sz w:val="24"/>
        </w:rPr>
        <w:t>on-</w:t>
      </w:r>
      <w:r w:rsidR="005027D0">
        <w:rPr>
          <w:b w:val="0"/>
          <w:bCs w:val="0"/>
          <w:caps w:val="0"/>
          <w:sz w:val="24"/>
        </w:rPr>
        <w:t>H</w:t>
      </w:r>
      <w:r w:rsidR="005027D0" w:rsidRPr="005027D0">
        <w:rPr>
          <w:b w:val="0"/>
          <w:bCs w:val="0"/>
          <w:caps w:val="0"/>
          <w:sz w:val="24"/>
        </w:rPr>
        <w:t xml:space="preserve">yuck </w:t>
      </w:r>
      <w:r w:rsidR="005027D0">
        <w:rPr>
          <w:b w:val="0"/>
          <w:bCs w:val="0"/>
          <w:caps w:val="0"/>
          <w:sz w:val="24"/>
        </w:rPr>
        <w:t>C</w:t>
      </w:r>
      <w:r w:rsidR="005027D0" w:rsidRPr="005027D0">
        <w:rPr>
          <w:b w:val="0"/>
          <w:bCs w:val="0"/>
          <w:caps w:val="0"/>
          <w:sz w:val="24"/>
        </w:rPr>
        <w:t xml:space="preserve">hoi, and </w:t>
      </w:r>
      <w:r w:rsidR="005027D0">
        <w:rPr>
          <w:b w:val="0"/>
          <w:bCs w:val="0"/>
          <w:caps w:val="0"/>
          <w:sz w:val="24"/>
        </w:rPr>
        <w:t>M</w:t>
      </w:r>
      <w:r w:rsidR="005027D0" w:rsidRPr="005027D0">
        <w:rPr>
          <w:b w:val="0"/>
          <w:bCs w:val="0"/>
          <w:caps w:val="0"/>
          <w:sz w:val="24"/>
        </w:rPr>
        <w:t>in-</w:t>
      </w:r>
      <w:r w:rsidR="005027D0">
        <w:rPr>
          <w:b w:val="0"/>
          <w:bCs w:val="0"/>
          <w:caps w:val="0"/>
          <w:sz w:val="24"/>
        </w:rPr>
        <w:t>S</w:t>
      </w:r>
      <w:r w:rsidR="005027D0" w:rsidRPr="005027D0">
        <w:rPr>
          <w:b w:val="0"/>
          <w:bCs w:val="0"/>
          <w:caps w:val="0"/>
          <w:sz w:val="24"/>
        </w:rPr>
        <w:t xml:space="preserve">eok </w:t>
      </w:r>
      <w:r w:rsidR="005027D0">
        <w:rPr>
          <w:b w:val="0"/>
          <w:bCs w:val="0"/>
          <w:caps w:val="0"/>
          <w:sz w:val="24"/>
        </w:rPr>
        <w:t>J</w:t>
      </w:r>
      <w:r w:rsidR="005027D0" w:rsidRPr="005027D0">
        <w:rPr>
          <w:b w:val="0"/>
          <w:bCs w:val="0"/>
          <w:caps w:val="0"/>
          <w:sz w:val="24"/>
        </w:rPr>
        <w:t>ie. "</w:t>
      </w:r>
      <w:r w:rsidR="005027D0">
        <w:rPr>
          <w:b w:val="0"/>
          <w:bCs w:val="0"/>
          <w:caps w:val="0"/>
          <w:sz w:val="24"/>
        </w:rPr>
        <w:t>A</w:t>
      </w:r>
      <w:r w:rsidR="005027D0" w:rsidRPr="005027D0">
        <w:rPr>
          <w:b w:val="0"/>
          <w:bCs w:val="0"/>
          <w:caps w:val="0"/>
          <w:sz w:val="24"/>
        </w:rPr>
        <w:t xml:space="preserve">pplication of machine learning methods to interpolation of aircraft aerodynamic data." </w:t>
      </w:r>
      <w:r w:rsidR="005027D0">
        <w:rPr>
          <w:b w:val="0"/>
          <w:bCs w:val="0"/>
          <w:caps w:val="0"/>
          <w:sz w:val="24"/>
        </w:rPr>
        <w:t>I</w:t>
      </w:r>
      <w:r w:rsidR="005027D0" w:rsidRPr="005027D0">
        <w:rPr>
          <w:b w:val="0"/>
          <w:bCs w:val="0"/>
          <w:caps w:val="0"/>
          <w:sz w:val="24"/>
        </w:rPr>
        <w:t>nternational journal of control and automation 11.10 (2018): 1-10.</w:t>
      </w:r>
    </w:p>
    <w:sectPr w:rsidR="00FE219B" w:rsidRPr="000F4C18">
      <w:headerReference w:type="default" r:id="rId9"/>
      <w:footerReference w:type="even" r:id="rId10"/>
      <w:footerReference w:type="default" r:id="rId11"/>
      <w:headerReference w:type="first" r:id="rId12"/>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1588" w14:textId="77777777" w:rsidR="00654135" w:rsidRDefault="00654135">
      <w:r>
        <w:separator/>
      </w:r>
    </w:p>
  </w:endnote>
  <w:endnote w:type="continuationSeparator" w:id="0">
    <w:p w14:paraId="547CDA96" w14:textId="77777777" w:rsidR="00654135" w:rsidRDefault="0065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A044" w14:textId="77777777" w:rsidR="00C93602" w:rsidRDefault="00C936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24370F" w14:textId="77777777" w:rsidR="00C93602" w:rsidRDefault="00C936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C667D" w14:textId="77777777" w:rsidR="00C93602" w:rsidRDefault="00C9360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6163">
      <w:rPr>
        <w:rStyle w:val="Nmerodepgina"/>
        <w:noProof/>
      </w:rPr>
      <w:t>2</w:t>
    </w:r>
    <w:r>
      <w:rPr>
        <w:rStyle w:val="Nmerodepgina"/>
      </w:rPr>
      <w:fldChar w:fldCharType="end"/>
    </w:r>
  </w:p>
  <w:p w14:paraId="4904CDF5" w14:textId="77777777" w:rsidR="00C93602" w:rsidRDefault="00C936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D08C" w14:textId="77777777" w:rsidR="00654135" w:rsidRDefault="00654135">
      <w:r>
        <w:separator/>
      </w:r>
    </w:p>
  </w:footnote>
  <w:footnote w:type="continuationSeparator" w:id="0">
    <w:p w14:paraId="72DCC91B" w14:textId="77777777" w:rsidR="00654135" w:rsidRDefault="0065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671D"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99FAD" w14:textId="77777777" w:rsidR="00A334C4" w:rsidRPr="007A5B1C" w:rsidRDefault="007A5B1C" w:rsidP="00F51B3C">
    <w:pPr>
      <w:pStyle w:val="Encabezado"/>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36BF6952" w14:textId="77777777" w:rsidR="00C93602" w:rsidRPr="007A5B1C" w:rsidRDefault="00F51B3C" w:rsidP="00415405">
    <w:pPr>
      <w:pStyle w:val="Encabezado"/>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774"/>
    <w:rsid w:val="000204EE"/>
    <w:rsid w:val="00052774"/>
    <w:rsid w:val="000937C2"/>
    <w:rsid w:val="000C31A7"/>
    <w:rsid w:val="000E3F6B"/>
    <w:rsid w:val="000F4C18"/>
    <w:rsid w:val="00156314"/>
    <w:rsid w:val="002A6B2B"/>
    <w:rsid w:val="003E6163"/>
    <w:rsid w:val="00415405"/>
    <w:rsid w:val="005027D0"/>
    <w:rsid w:val="00555774"/>
    <w:rsid w:val="005A6C4F"/>
    <w:rsid w:val="005A7F0E"/>
    <w:rsid w:val="00645FDD"/>
    <w:rsid w:val="00654135"/>
    <w:rsid w:val="00695FA1"/>
    <w:rsid w:val="006B010E"/>
    <w:rsid w:val="007003F3"/>
    <w:rsid w:val="007A5B1C"/>
    <w:rsid w:val="007C1C38"/>
    <w:rsid w:val="00820C95"/>
    <w:rsid w:val="008901CD"/>
    <w:rsid w:val="009017CD"/>
    <w:rsid w:val="0091061D"/>
    <w:rsid w:val="00952EDD"/>
    <w:rsid w:val="009771D8"/>
    <w:rsid w:val="009E5680"/>
    <w:rsid w:val="00A334C4"/>
    <w:rsid w:val="00B401D6"/>
    <w:rsid w:val="00BA4C89"/>
    <w:rsid w:val="00C0423D"/>
    <w:rsid w:val="00C42322"/>
    <w:rsid w:val="00C93602"/>
    <w:rsid w:val="00CC0C75"/>
    <w:rsid w:val="00D52305"/>
    <w:rsid w:val="00E154C5"/>
    <w:rsid w:val="00E51C67"/>
    <w:rsid w:val="00E539B3"/>
    <w:rsid w:val="00ED6A0A"/>
    <w:rsid w:val="00F039C5"/>
    <w:rsid w:val="00F125E1"/>
    <w:rsid w:val="00F51B3C"/>
    <w:rsid w:val="00F82FB0"/>
    <w:rsid w:val="00FB2843"/>
    <w:rsid w:val="00FE219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E17FB"/>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final">
    <w:name w:val="endnote reference"/>
    <w:basedOn w:val="Fuentedeprrafopredeter"/>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ipervnculo">
    <w:name w:val="Hyperlink"/>
    <w:basedOn w:val="Fuentedeprrafopredeter"/>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visitado">
    <w:name w:val="FollowedHyperlink"/>
    <w:basedOn w:val="Fuentedeprrafopredeter"/>
    <w:rPr>
      <w:color w:val="800080"/>
      <w:u w:val="single"/>
    </w:rPr>
  </w:style>
  <w:style w:type="character" w:styleId="Nmerodepgina">
    <w:name w:val="page number"/>
    <w:basedOn w:val="Fuentedeprrafopredeter"/>
  </w:style>
  <w:style w:type="paragraph" w:styleId="Textoindependiente">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deglobo">
    <w:name w:val="Balloon Text"/>
    <w:basedOn w:val="Normal"/>
    <w:semiHidden/>
    <w:rsid w:val="00555774"/>
    <w:rPr>
      <w:rFonts w:ascii="Tahoma" w:hAnsi="Tahoma" w:cs="Tahoma"/>
      <w:sz w:val="16"/>
      <w:szCs w:val="16"/>
    </w:rPr>
  </w:style>
  <w:style w:type="character" w:styleId="Mencinsinresolver">
    <w:name w:val="Unresolved Mention"/>
    <w:basedOn w:val="Fuentedeprrafopredeter"/>
    <w:uiPriority w:val="99"/>
    <w:semiHidden/>
    <w:unhideWhenUsed/>
    <w:rsid w:val="00F8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a.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ndper@inta.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398</Words>
  <Characters>2195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2588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Esther Andrés Pérez</cp:lastModifiedBy>
  <cp:revision>21</cp:revision>
  <cp:lastPrinted>2012-05-23T07:35:00Z</cp:lastPrinted>
  <dcterms:created xsi:type="dcterms:W3CDTF">2016-06-02T13:23:00Z</dcterms:created>
  <dcterms:modified xsi:type="dcterms:W3CDTF">2021-07-05T11:03:00Z</dcterms:modified>
</cp:coreProperties>
</file>