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 xml:space="preserve">TITLE: </w:t>
      </w:r>
      <w:r>
        <w:rPr/>
        <w:t>POLYGONAL AND POLYHEDRAL DISCRETIZATIONS FOR  PARTIAL DIFFERENTIAL EQUATIONS</w:t>
      </w:r>
    </w:p>
    <w:p>
      <w:pPr>
        <w:pStyle w:val="PaperTitleWCCM"/>
        <w:spacing w:before="0" w:after="126"/>
        <w:jc w:val="center"/>
        <w:rPr/>
      </w:pPr>
      <w:r>
        <w:rPr>
          <w:rFonts w:cs="Times New Roman" w:cstheme="majorBidi"/>
          <w:sz w:val="24"/>
          <w:szCs w:val="24"/>
        </w:rPr>
        <w:t xml:space="preserve">TRACK Number </w:t>
      </w:r>
      <w:r>
        <w:rPr>
          <w:rFonts w:cs="Times New Roman" w:cstheme="majorBidi"/>
          <w:color w:val="FF0000"/>
          <w:sz w:val="24"/>
          <w:szCs w:val="24"/>
          <w:lang w:val="en-GB" w:eastAsia="it-IT"/>
        </w:rPr>
        <w:t>4000</w:t>
      </w:r>
    </w:p>
    <w:p>
      <w:pPr>
        <w:pStyle w:val="PaperTitleWCCM"/>
        <w:spacing w:before="0" w:after="0"/>
        <w:jc w:val="center"/>
        <w:rPr/>
      </w:pPr>
      <w:r>
        <w:rPr>
          <w:b/>
          <w:bCs/>
          <w:caps/>
          <w:sz w:val="24"/>
          <w:szCs w:val="28"/>
          <w:lang w:val="en-US"/>
        </w:rPr>
        <w:t>Joe BISHOP</w:t>
      </w:r>
      <w:r>
        <w:rPr>
          <w:b/>
          <w:bCs/>
          <w:caps/>
          <w:position w:val="12"/>
          <w:sz w:val="24"/>
          <w:szCs w:val="16"/>
          <w:lang w:val="en-US"/>
        </w:rPr>
        <w:t>1</w:t>
      </w:r>
      <w:r>
        <w:rPr>
          <w:b/>
          <w:bCs/>
          <w:caps/>
          <w:sz w:val="24"/>
          <w:szCs w:val="28"/>
          <w:lang w:val="en-US"/>
        </w:rPr>
        <w:t xml:space="preserve">, </w:t>
      </w:r>
      <w:r>
        <w:rPr>
          <w:sz w:val="24"/>
        </w:rPr>
        <w:t xml:space="preserve"> </w:t>
      </w:r>
      <w:r>
        <w:rPr>
          <w:sz w:val="24"/>
        </w:rPr>
        <w:t>Michele botti</w:t>
      </w:r>
      <w:r>
        <w:rPr>
          <w:position w:val="12"/>
          <w:sz w:val="24"/>
          <w:szCs w:val="16"/>
        </w:rPr>
        <w:t>2</w:t>
      </w:r>
      <w:r>
        <w:rPr>
          <w:sz w:val="24"/>
        </w:rPr>
        <w:t xml:space="preserve">, </w:t>
      </w:r>
    </w:p>
    <w:p>
      <w:pPr>
        <w:pStyle w:val="PaperTitleWCCM"/>
        <w:spacing w:before="0" w:after="0"/>
        <w:jc w:val="center"/>
        <w:rPr/>
      </w:pPr>
      <w:r>
        <w:rPr>
          <w:sz w:val="24"/>
        </w:rPr>
        <w:t>Gianmarco Manzini</w:t>
      </w:r>
      <w:r>
        <w:rPr>
          <w:position w:val="12"/>
          <w:sz w:val="24"/>
          <w:szCs w:val="16"/>
        </w:rPr>
        <w:t>3</w:t>
      </w:r>
      <w:r>
        <w:rPr>
          <w:sz w:val="24"/>
        </w:rPr>
        <w:t xml:space="preserve">, </w:t>
      </w:r>
      <w:r>
        <w:rPr>
          <w:sz w:val="24"/>
        </w:rPr>
        <w:t xml:space="preserve">and </w:t>
      </w:r>
      <w:r>
        <w:rPr>
          <w:sz w:val="24"/>
        </w:rPr>
        <w:t>N. Sukumar</w:t>
      </w:r>
      <w:r>
        <w:rPr>
          <w:position w:val="12"/>
          <w:sz w:val="24"/>
          <w:szCs w:val="16"/>
        </w:rPr>
        <w:t>4</w:t>
      </w:r>
    </w:p>
    <w:p>
      <w:pPr>
        <w:pStyle w:val="PaperTitleWCCM"/>
        <w:spacing w:before="0" w:after="12"/>
        <w:jc w:val="center"/>
        <w:rPr>
          <w:position w:val="14"/>
          <w:sz w:val="24"/>
          <w:szCs w:val="16"/>
        </w:rPr>
      </w:pPr>
      <w:r>
        <w:rPr/>
      </w:r>
    </w:p>
    <w:p>
      <w:pPr>
        <w:pStyle w:val="LiteWCCM"/>
        <w:rPr/>
      </w:pPr>
      <w:r>
        <w:rPr>
          <w:position w:val="11"/>
          <w:sz w:val="16"/>
          <w:szCs w:val="16"/>
        </w:rPr>
        <w:t>1</w:t>
      </w:r>
      <w:r>
        <w:rPr/>
        <w:tab/>
        <w:t xml:space="preserve">Sandia </w:t>
      </w:r>
      <w:r>
        <w:rPr/>
        <w:t xml:space="preserve">National Laboratories, Albuquerque, NM, </w:t>
      </w:r>
      <w:r>
        <w:rPr/>
        <w:t>USA, jebisho@sandia.gov</w:t>
      </w:r>
    </w:p>
    <w:p>
      <w:pPr>
        <w:pStyle w:val="LiteWCCM"/>
        <w:rPr/>
      </w:pPr>
      <w:r>
        <w:rPr>
          <w:position w:val="11"/>
          <w:sz w:val="16"/>
          <w:szCs w:val="16"/>
        </w:rPr>
        <w:t>2</w:t>
      </w:r>
      <w:r>
        <w:rPr/>
        <w:tab/>
      </w:r>
      <w:r>
        <w:rPr/>
        <w:t>Politecnico di Milano - MOX, Milano, Ital</w:t>
      </w:r>
      <w:r>
        <w:rPr/>
        <w:t>y, michele.botti@polimi.it</w:t>
      </w:r>
    </w:p>
    <w:p>
      <w:pPr>
        <w:pStyle w:val="LiteWCCM"/>
        <w:rPr/>
      </w:pPr>
      <w:r>
        <w:rPr>
          <w:position w:val="11"/>
          <w:sz w:val="16"/>
          <w:szCs w:val="16"/>
        </w:rPr>
        <w:t>3</w:t>
      </w:r>
      <w:r>
        <w:rPr/>
        <w:tab/>
      </w:r>
      <w:r>
        <w:rPr/>
        <w:t>Los Alamos National Laboratory, Los Alamos, NM, US</w:t>
      </w:r>
      <w:r>
        <w:rPr/>
        <w:t>A, gmanzini@lanl.gov</w:t>
      </w:r>
    </w:p>
    <w:p>
      <w:pPr>
        <w:pStyle w:val="LiteWCCM"/>
        <w:rPr/>
      </w:pPr>
      <w:r>
        <w:rPr>
          <w:position w:val="11"/>
          <w:sz w:val="16"/>
          <w:szCs w:val="16"/>
        </w:rPr>
        <w:t>3</w:t>
      </w:r>
      <w:r>
        <w:rPr/>
        <w:tab/>
      </w:r>
      <w:r>
        <w:rPr>
          <w:lang w:val="en-GB"/>
        </w:rPr>
        <w:t xml:space="preserve">University of California </w:t>
      </w:r>
      <w:r>
        <w:rPr>
          <w:lang w:val="en-GB"/>
        </w:rPr>
        <w:t xml:space="preserve">at </w:t>
      </w:r>
      <w:r>
        <w:rPr>
          <w:lang w:val="en-GB"/>
        </w:rPr>
        <w:t xml:space="preserve">Davis, </w:t>
      </w:r>
      <w:r>
        <w:rPr>
          <w:lang w:val="en-GB"/>
        </w:rPr>
        <w:t>CA, USA, n.sukumar@ucdavis.edu</w:t>
      </w:r>
    </w:p>
    <w:p>
      <w:pPr>
        <w:pStyle w:val="NormalWCCM"/>
        <w:spacing w:before="240" w:after="0"/>
        <w:ind w:hanging="0"/>
        <w:rPr>
          <w:color w:val="000000"/>
          <w:sz w:val="24"/>
        </w:rPr>
      </w:pPr>
      <w:r>
        <w:rPr>
          <w:b/>
          <w:bCs/>
          <w:color w:val="000000"/>
          <w:sz w:val="24"/>
        </w:rPr>
        <w:t>Key words:</w:t>
      </w:r>
      <w:r>
        <w:rPr>
          <w:color w:val="000000"/>
        </w:rPr>
        <w:t xml:space="preserve"> </w:t>
      </w:r>
      <w:r>
        <w:rPr>
          <w:color w:val="000000"/>
          <w:sz w:val="24"/>
        </w:rPr>
        <w:t>Polygonal/polyedral unstructured meshes,  Galerkin methods</w:t>
      </w:r>
    </w:p>
    <w:p>
      <w:pPr>
        <w:pStyle w:val="NormalWCCM"/>
        <w:ind w:hanging="0"/>
        <w:rPr/>
      </w:pPr>
      <w:r>
        <w:rPr/>
      </w:r>
    </w:p>
    <w:p>
      <w:pPr>
        <w:pStyle w:val="1stTitleWCCM"/>
        <w:numPr>
          <w:ilvl w:val="0"/>
          <w:numId w:val="0"/>
        </w:numPr>
        <w:spacing w:before="0" w:after="120"/>
        <w:ind w:hanging="0"/>
        <w:jc w:val="center"/>
        <w:outlineLvl w:val="0"/>
        <w:rPr>
          <w:sz w:val="24"/>
        </w:rPr>
      </w:pPr>
      <w:r>
        <w:rPr>
          <w:sz w:val="24"/>
        </w:rPr>
        <w:t>ABSTRACT</w:t>
      </w:r>
    </w:p>
    <w:p>
      <w:pPr>
        <w:pStyle w:val="Normal"/>
        <w:spacing w:before="120" w:after="120"/>
        <w:jc w:val="both"/>
        <w:rPr>
          <w:color w:val="000000"/>
          <w:lang w:val="en-GB"/>
        </w:rPr>
      </w:pPr>
      <w:r>
        <w:rPr>
          <w:color w:val="000000"/>
          <w:lang w:val="en-GB"/>
        </w:rPr>
        <w:t xml:space="preserve">Organizers The purpose of this minisymposium is to bring together researchers who develop and apply novel discretization techniques that extend the regime of standard finite element approaches for the solution </w:t>
      </w:r>
      <w:r>
        <w:rPr>
          <w:color w:val="000000"/>
          <w:lang w:val="en-GB"/>
        </w:rPr>
        <w:t xml:space="preserve">of </w:t>
      </w:r>
      <w:r>
        <w:rPr>
          <w:color w:val="000000"/>
          <w:lang w:val="en-GB"/>
        </w:rPr>
        <w:t>partial differential equations. A few examples of such technologies are: continuous and discontinuous Galerkin methods based on polygonal and polyhedral meshes, structure preserving mimetic discretizations, virtual element methods and finite element exterior calculus. The use of polygonal and polyhedral meshes with convex and concave elements provide greater flexibility in mesh design, and the discretizations on such meshes afford robustness in material design simulations, capturing flow in heterogeneous subsurface porous media, modeling of layered stratification of faults and fractures at geological sites, and reduced mesh-sensitivity to model complex pervasive fracture processes. These technologies have give rise to many new opportunities in computational mechanics as well as new mathematical challenges. Contributions to this minisymposium are solicited that emphasize methods development and/or applications to problems in engineering sciences that involve the use of polygonal and polyhedral discretizations. While contributions in all aspects related to these methods are invited, some of the featured topics will include:</w:t>
      </w:r>
    </w:p>
    <w:p>
      <w:pPr>
        <w:pStyle w:val="Normal"/>
        <w:numPr>
          <w:ilvl w:val="0"/>
          <w:numId w:val="2"/>
        </w:numPr>
        <w:spacing w:before="63" w:after="63"/>
        <w:jc w:val="both"/>
        <w:rPr/>
      </w:pPr>
      <w:r>
        <w:rPr>
          <w:color w:val="000000"/>
          <w:lang w:val="en-GB"/>
        </w:rPr>
        <w:t>Generalized barycentric coordinates for polygons and polyhedra</w:t>
      </w:r>
    </w:p>
    <w:p>
      <w:pPr>
        <w:pStyle w:val="Normal"/>
        <w:numPr>
          <w:ilvl w:val="0"/>
          <w:numId w:val="2"/>
        </w:numPr>
        <w:spacing w:before="63" w:after="63"/>
        <w:jc w:val="both"/>
        <w:rPr/>
      </w:pPr>
      <w:r>
        <w:rPr>
          <w:color w:val="000000"/>
          <w:lang w:val="en-GB"/>
        </w:rPr>
        <w:t>Discontinuous Galerkin and nonconforming finite elements on polyhedra</w:t>
      </w:r>
    </w:p>
    <w:p>
      <w:pPr>
        <w:pStyle w:val="Normal"/>
        <w:numPr>
          <w:ilvl w:val="0"/>
          <w:numId w:val="2"/>
        </w:numPr>
        <w:spacing w:before="63" w:after="63"/>
        <w:jc w:val="both"/>
        <w:rPr/>
      </w:pPr>
      <w:r>
        <w:rPr>
          <w:color w:val="000000"/>
          <w:lang w:val="en-GB"/>
        </w:rPr>
        <w:t>Virtual element methods for linear and higher-order approximations</w:t>
      </w:r>
    </w:p>
    <w:p>
      <w:pPr>
        <w:pStyle w:val="Normal"/>
        <w:numPr>
          <w:ilvl w:val="0"/>
          <w:numId w:val="2"/>
        </w:numPr>
        <w:spacing w:before="63" w:after="63"/>
        <w:jc w:val="both"/>
        <w:rPr/>
      </w:pPr>
      <w:r>
        <w:rPr>
          <w:color w:val="000000"/>
          <w:lang w:val="en-GB"/>
        </w:rPr>
        <w:t>Structure-preserving algorithms (mimetic and finite element exterior calculus) for  multiphysics simulations</w:t>
      </w:r>
    </w:p>
    <w:p>
      <w:pPr>
        <w:pStyle w:val="Normal"/>
        <w:numPr>
          <w:ilvl w:val="0"/>
          <w:numId w:val="2"/>
        </w:numPr>
        <w:spacing w:before="63" w:after="63"/>
        <w:jc w:val="both"/>
        <w:rPr/>
      </w:pPr>
      <w:r>
        <w:rPr>
          <w:color w:val="000000"/>
          <w:lang w:val="en-GB"/>
        </w:rPr>
        <w:t>B</w:t>
      </w:r>
      <w:r>
        <w:rPr>
          <w:color w:val="000000"/>
          <w:lang w:val="en-GB"/>
        </w:rPr>
        <w:t>oundary element formulation</w:t>
      </w:r>
      <w:r>
        <w:rPr>
          <w:color w:val="000000"/>
          <w:lang w:val="en-GB"/>
        </w:rPr>
        <w:t>s</w:t>
      </w:r>
    </w:p>
    <w:p>
      <w:pPr>
        <w:pStyle w:val="Normal"/>
        <w:numPr>
          <w:ilvl w:val="0"/>
          <w:numId w:val="2"/>
        </w:numPr>
        <w:spacing w:before="63" w:after="63"/>
        <w:jc w:val="both"/>
        <w:rPr/>
      </w:pPr>
      <w:r>
        <w:rPr>
          <w:color w:val="000000"/>
          <w:lang w:val="en-GB"/>
        </w:rPr>
        <w:t>Polygonal and polyhedral mesh generation algorithms</w:t>
      </w:r>
    </w:p>
    <w:p>
      <w:pPr>
        <w:pStyle w:val="Normal"/>
        <w:numPr>
          <w:ilvl w:val="0"/>
          <w:numId w:val="2"/>
        </w:numPr>
        <w:spacing w:before="63" w:after="63"/>
        <w:jc w:val="both"/>
        <w:rPr/>
      </w:pPr>
      <w:r>
        <w:rPr>
          <w:color w:val="000000"/>
          <w:lang w:val="en-GB"/>
        </w:rPr>
        <w:t>Error estimates and convergence theory for polyhedral finite element discretizations</w:t>
      </w:r>
    </w:p>
    <w:p>
      <w:pPr>
        <w:pStyle w:val="Normal"/>
        <w:numPr>
          <w:ilvl w:val="0"/>
          <w:numId w:val="2"/>
        </w:numPr>
        <w:spacing w:before="63" w:after="63"/>
        <w:jc w:val="both"/>
        <w:rPr/>
      </w:pPr>
      <w:r>
        <w:rPr>
          <w:color w:val="000000"/>
          <w:lang w:val="en-GB"/>
        </w:rPr>
        <w:t>Use of polyhedral meshes in applications such as flow simulations, material design and microstructural discretization, topology optimization and additive manufacturing, deformation of nonlinear continua, fracture, computer graphics and animations.</w:t>
      </w:r>
    </w:p>
    <w:p>
      <w:pPr>
        <w:pStyle w:val="Normal"/>
        <w:spacing w:before="120" w:after="120"/>
        <w:jc w:val="both"/>
        <w:rPr>
          <w:color w:val="000000"/>
          <w:lang w:val="en-GB"/>
        </w:rPr>
      </w:pPr>
      <w:r>
        <w:rPr/>
      </w:r>
    </w:p>
    <w:p>
      <w:pPr>
        <w:pStyle w:val="Normal"/>
        <w:spacing w:before="120" w:after="120"/>
        <w:jc w:val="both"/>
        <w:rPr>
          <w:color w:val="000000"/>
          <w:lang w:val="en-GB"/>
        </w:rPr>
      </w:pPr>
      <w:r>
        <w:rPr/>
      </w:r>
    </w:p>
    <w:p>
      <w:pPr>
        <w:pStyle w:val="Normal"/>
        <w:spacing w:before="120" w:after="120"/>
        <w:jc w:val="both"/>
        <w:rPr>
          <w:color w:val="000000"/>
          <w:lang w:val="en-GB"/>
        </w:rPr>
      </w:pPr>
      <w:r>
        <w:rPr>
          <w:color w:val="000000"/>
          <w:lang w:val="en-GB"/>
        </w:rPr>
        <w:t xml:space="preserve">of MS proposals are requested </w:t>
      </w:r>
      <w:r>
        <w:rPr>
          <w:szCs w:val="20"/>
          <w:lang w:val="en-GB"/>
        </w:rPr>
        <w:t>to upload an abstract</w:t>
      </w:r>
      <w:r>
        <w:rPr>
          <w:color w:val="000000"/>
          <w:lang w:val="en-GB"/>
        </w:rPr>
        <w:t xml:space="preserve"> of approximately 400 words (</w:t>
      </w:r>
      <w:r>
        <w:rPr>
          <w:color w:val="000000"/>
          <w:u w:val="single"/>
          <w:lang w:val="en-GB"/>
        </w:rPr>
        <w:t>1 page</w:t>
      </w:r>
      <w:r>
        <w:rPr>
          <w:color w:val="000000"/>
          <w:lang w:val="en-GB"/>
        </w:rPr>
        <w:t xml:space="preserve">) no later than </w:t>
      </w:r>
      <w:r>
        <w:rPr>
          <w:b/>
          <w:color w:val="000000"/>
          <w:lang w:val="en-GB"/>
        </w:rPr>
        <w:t>June 30, 2021</w:t>
      </w:r>
      <w:r>
        <w:rPr>
          <w:color w:val="000000"/>
          <w:lang w:val="en-GB"/>
        </w:rPr>
        <w:t xml:space="preserve">, following the format of this template. </w:t>
      </w:r>
    </w:p>
    <w:p>
      <w:pPr>
        <w:pStyle w:val="Normal"/>
        <w:spacing w:before="120" w:after="120"/>
        <w:jc w:val="both"/>
        <w:rPr>
          <w:color w:val="000000"/>
          <w:lang w:val="en-GB"/>
        </w:rPr>
      </w:pPr>
      <w:r>
        <w:rPr>
          <w:color w:val="000000"/>
          <w:lang w:val="en-GB"/>
        </w:rPr>
        <w:t xml:space="preserve">The abstract should briefly illustrate the </w:t>
      </w:r>
      <w:r>
        <w:rPr>
          <w:rFonts w:ascii="Book Antiqua" w:hAnsi="Book Antiqua"/>
          <w:sz w:val="22"/>
          <w:szCs w:val="22"/>
          <w:lang w:val="en-GB" w:eastAsia="it-IT"/>
        </w:rPr>
        <w:t xml:space="preserve">contents and objectives of the Minisymposium. The </w:t>
      </w:r>
      <w:r>
        <w:rPr>
          <w:lang w:val="en-GB"/>
        </w:rPr>
        <w:t>list of prospective speakers is not required.</w:t>
      </w:r>
    </w:p>
    <w:p>
      <w:pPr>
        <w:pStyle w:val="Normal"/>
        <w:spacing w:before="120" w:after="120"/>
        <w:jc w:val="both"/>
        <w:rPr>
          <w:color w:val="000000"/>
          <w:lang w:val="en-GB"/>
        </w:rPr>
      </w:pPr>
      <w:r>
        <w:rPr>
          <w:color w:val="000000"/>
          <w:lang w:val="en-GB"/>
        </w:rPr>
        <w:t>For practical reasons, each MS shall have a Corresponding Organizer, who will submit the MS proposal and keep in contact with the Conference Secretariat, and one or more Co-organizers</w:t>
      </w:r>
      <w:r>
        <w:rPr>
          <w:color w:val="FF0000"/>
          <w:lang w:val="en-GB"/>
        </w:rPr>
        <w:t>.</w:t>
      </w:r>
    </w:p>
    <w:p>
      <w:pPr>
        <w:pStyle w:val="Normal"/>
        <w:spacing w:before="120" w:after="120"/>
        <w:jc w:val="both"/>
        <w:rPr>
          <w:color w:val="000000"/>
          <w:lang w:val="en-GB"/>
        </w:rPr>
      </w:pPr>
      <w:r>
        <w:rPr>
          <w:color w:val="000000"/>
          <w:lang w:val="en-GB"/>
        </w:rPr>
        <w:t xml:space="preserve">Each MS should consist of a minimum of one Session (6 presentations of 20 minutes each or 5 presentations plus a 40m Keynote talk). The number of Sessions for a MS will be determined by the number of papers </w:t>
      </w:r>
      <w:bookmarkStart w:id="0" w:name="_GoBack"/>
      <w:bookmarkEnd w:id="0"/>
      <w:r>
        <w:rPr>
          <w:color w:val="000000"/>
          <w:lang w:val="en-GB"/>
        </w:rPr>
        <w:t>submitted. A MS cannot be split in parallel sessions.</w:t>
      </w:r>
    </w:p>
    <w:p>
      <w:pPr>
        <w:pStyle w:val="TextBody"/>
        <w:spacing w:lineRule="atLeast" w:line="240" w:before="0" w:after="120"/>
        <w:rPr>
          <w:color w:val="000000"/>
          <w:sz w:val="24"/>
          <w:szCs w:val="24"/>
          <w:lang w:val="en-GB"/>
        </w:rPr>
      </w:pPr>
      <w:r>
        <w:rPr>
          <w:color w:val="000000"/>
          <w:sz w:val="24"/>
          <w:szCs w:val="24"/>
          <w:lang w:val="en-GB"/>
        </w:rPr>
        <w:t>For any further request, please contact the congress Secretariat:</w:t>
      </w:r>
    </w:p>
    <w:p>
      <w:pPr>
        <w:pStyle w:val="TextBody"/>
        <w:spacing w:lineRule="atLeast" w:line="240" w:before="120" w:after="240"/>
        <w:jc w:val="left"/>
        <w:rPr>
          <w:lang w:val="en-GB"/>
        </w:rPr>
      </w:pPr>
      <w:hyperlink r:id="rId2">
        <w:r>
          <w:rPr>
            <w:rStyle w:val="InternetLink"/>
            <w:lang w:val="en-GB"/>
          </w:rPr>
          <w:t>ECCOMAS2022@cimne.upc.edu</w:t>
        </w:r>
      </w:hyperlink>
    </w:p>
    <w:p>
      <w:pPr>
        <w:pStyle w:val="TextBody"/>
        <w:spacing w:lineRule="atLeast" w:line="240" w:before="120" w:after="240"/>
        <w:jc w:val="center"/>
        <w:rPr>
          <w:b/>
          <w:b/>
          <w:color w:val="000000"/>
          <w:sz w:val="24"/>
          <w:szCs w:val="24"/>
          <w:lang w:val="en-GB"/>
        </w:rPr>
      </w:pPr>
      <w:r>
        <w:rPr>
          <w:b/>
          <w:color w:val="000000"/>
          <w:sz w:val="24"/>
          <w:szCs w:val="24"/>
          <w:lang w:val="en-GB"/>
        </w:rPr>
        <w:t>REFERENCES</w:t>
      </w:r>
    </w:p>
    <w:p>
      <w:pPr>
        <w:pStyle w:val="TextBody"/>
        <w:numPr>
          <w:ilvl w:val="0"/>
          <w:numId w:val="1"/>
        </w:numPr>
        <w:spacing w:lineRule="atLeast" w:line="240" w:before="0" w:after="120"/>
        <w:rPr>
          <w:sz w:val="24"/>
          <w:szCs w:val="24"/>
          <w:lang w:val="en-GB"/>
        </w:rPr>
      </w:pPr>
      <w:r>
        <w:rPr>
          <w:sz w:val="24"/>
          <w:szCs w:val="24"/>
          <w:lang w:val="en-GB"/>
        </w:rPr>
        <w:t xml:space="preserve">E. Oñate and M. Cervera, “Derivation of thin plate bending elements with one degree of freedom per node”, </w:t>
      </w:r>
      <w:r>
        <w:rPr>
          <w:i/>
          <w:sz w:val="24"/>
          <w:szCs w:val="24"/>
          <w:lang w:val="en-GB"/>
        </w:rPr>
        <w:t>Engng. Comput</w:t>
      </w:r>
      <w:r>
        <w:rPr>
          <w:sz w:val="24"/>
          <w:szCs w:val="24"/>
          <w:lang w:val="en-GB"/>
        </w:rPr>
        <w:t xml:space="preserve">., Vol. </w:t>
      </w:r>
      <w:r>
        <w:rPr>
          <w:b/>
          <w:sz w:val="24"/>
          <w:szCs w:val="24"/>
          <w:lang w:val="en-GB"/>
        </w:rPr>
        <w:t>10</w:t>
      </w:r>
      <w:r>
        <w:rPr>
          <w:sz w:val="24"/>
          <w:szCs w:val="24"/>
          <w:lang w:val="en-GB"/>
        </w:rPr>
        <w:t>, pp. 543</w:t>
      </w:r>
      <w:r>
        <w:rPr>
          <w:rFonts w:eastAsia="Symbol" w:cs="Symbol" w:ascii="Symbol" w:hAnsi="Symbol"/>
          <w:sz w:val="24"/>
          <w:szCs w:val="24"/>
          <w:lang w:val="en-GB"/>
        </w:rPr>
        <w:t></w:t>
      </w:r>
      <w:r>
        <w:rPr>
          <w:sz w:val="24"/>
          <w:szCs w:val="24"/>
          <w:lang w:val="en-GB"/>
        </w:rPr>
        <w:t>561, (1993).</w:t>
      </w:r>
    </w:p>
    <w:p>
      <w:pPr>
        <w:pStyle w:val="1stTitleWCCM"/>
        <w:numPr>
          <w:ilvl w:val="0"/>
          <w:numId w:val="0"/>
        </w:numPr>
        <w:spacing w:before="0" w:after="120"/>
        <w:ind w:left="360" w:hanging="360"/>
        <w:outlineLvl w:val="0"/>
        <w:rPr>
          <w:b w:val="false"/>
          <w:b w:val="false"/>
          <w:bCs w:val="false"/>
          <w:sz w:val="24"/>
        </w:rPr>
      </w:pPr>
      <w:r>
        <w:rPr>
          <w:rFonts w:eastAsia="Symbol" w:cs="Symbol" w:ascii="Symbol" w:hAnsi="Symbol"/>
          <w:b w:val="false"/>
          <w:bCs w:val="false"/>
          <w:sz w:val="24"/>
          <w:lang w:val="en-GB"/>
        </w:rPr>
        <w:t></w:t>
      </w:r>
      <w:r>
        <w:rPr>
          <w:b w:val="false"/>
          <w:bCs w:val="false"/>
          <w:sz w:val="24"/>
          <w:lang w:val="en-GB"/>
        </w:rPr>
        <w:t>2</w:t>
      </w:r>
      <w:r>
        <w:rPr>
          <w:rFonts w:eastAsia="Symbol" w:cs="Symbol" w:ascii="Symbol" w:hAnsi="Symbol"/>
          <w:b w:val="false"/>
          <w:bCs w:val="false"/>
          <w:sz w:val="24"/>
          <w:lang w:val="en-GB"/>
        </w:rPr>
        <w:t></w:t>
      </w:r>
      <w:r>
        <w:rPr>
          <w:b w:val="false"/>
          <w:bCs w:val="false"/>
          <w:sz w:val="24"/>
          <w:lang w:val="en-GB"/>
        </w:rPr>
        <w:tab/>
      </w:r>
      <w:r>
        <w:rPr>
          <w:b w:val="false"/>
          <w:bCs w:val="false"/>
          <w:caps w:val="false"/>
          <w:smallCaps w:val="false"/>
          <w:sz w:val="24"/>
          <w:lang w:val="en-GB"/>
        </w:rPr>
        <w:t xml:space="preserve">O.C. Zienkiewicz and R.C. Taylor, </w:t>
      </w:r>
      <w:r>
        <w:rPr>
          <w:b w:val="false"/>
          <w:bCs w:val="false"/>
          <w:i/>
          <w:caps w:val="false"/>
          <w:smallCaps w:val="false"/>
          <w:sz w:val="24"/>
          <w:lang w:val="en-GB"/>
        </w:rPr>
        <w:t>The Finite Element Method</w:t>
      </w:r>
      <w:r>
        <w:rPr>
          <w:b w:val="false"/>
          <w:bCs w:val="false"/>
          <w:caps w:val="false"/>
          <w:smallCaps w:val="false"/>
          <w:sz w:val="24"/>
          <w:lang w:val="en-GB"/>
        </w:rPr>
        <w:t>, 4</w:t>
      </w:r>
      <w:r>
        <w:rPr>
          <w:b w:val="false"/>
          <w:bCs w:val="false"/>
          <w:caps w:val="false"/>
          <w:smallCaps w:val="false"/>
          <w:sz w:val="24"/>
          <w:vertAlign w:val="superscript"/>
          <w:lang w:val="en-GB"/>
        </w:rPr>
        <w:t>th</w:t>
      </w:r>
      <w:r>
        <w:rPr>
          <w:b w:val="false"/>
          <w:bCs w:val="false"/>
          <w:caps w:val="false"/>
          <w:smallCaps w:val="false"/>
          <w:sz w:val="24"/>
          <w:lang w:val="en-GB"/>
        </w:rPr>
        <w:t xml:space="preserve"> Edition, Vol. 1, Mcgraw Hill,</w:t>
      </w:r>
      <w:r>
        <w:rPr>
          <w:b w:val="false"/>
          <w:bCs w:val="false"/>
          <w:sz w:val="24"/>
          <w:lang w:val="en-GB"/>
        </w:rPr>
        <w:t xml:space="preserve"> 1989.</w:t>
      </w:r>
    </w:p>
    <w:sectPr>
      <w:headerReference w:type="default" r:id="rId3"/>
      <w:headerReference w:type="first" r:id="rId4"/>
      <w:footerReference w:type="default" r:id="rId5"/>
      <w:type w:val="nextPage"/>
      <w:pgSz w:w="11906" w:h="16838"/>
      <w:pgMar w:left="1418" w:right="1418" w:header="1134" w:top="2438" w:footer="1134" w:bottom="16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Book Antiqu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23.75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42"/>
        </w:tabs>
        <w:ind w:left="442" w:hanging="442"/>
      </w:pPr>
      <w:rPr>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fullPage" w:percent="10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dnoteCharacters">
    <w:name w:val="Endnote Characters"/>
    <w:basedOn w:val="DefaultParagraphFont"/>
    <w:semiHidden/>
    <w:qFormat/>
    <w:rPr>
      <w:vertAlign w:val="superscript"/>
    </w:rPr>
  </w:style>
  <w:style w:type="character" w:styleId="EndnoteAnchor">
    <w:name w:val="Endnote Anchor"/>
    <w:rPr>
      <w:vertAlign w:val="superscrip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widowControl w:val="false"/>
      <w:jc w:val="both"/>
    </w:pPr>
    <w:rPr>
      <w:sz w:val="22"/>
      <w:szCs w:val="20"/>
      <w:lang w:val="es-ES_tradn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fTitleWCCM" w:customStyle="1">
    <w:name w:val="Ref Title WCCM"/>
    <w:basedOn w:val="1stTitleWCCM"/>
    <w:qFormat/>
    <w:pPr>
      <w:tabs>
        <w:tab w:val="clear" w:pos="360"/>
      </w:tabs>
    </w:pPr>
    <w:rPr/>
  </w:style>
  <w:style w:type="paragraph" w:styleId="1stTitleWCCM" w:customStyle="1">
    <w:name w:val="1st Title WCCM"/>
    <w:basedOn w:val="NormalWCCM"/>
    <w:qFormat/>
    <w:pPr>
      <w:keepNext w:val="true"/>
      <w:keepLines/>
      <w:tabs>
        <w:tab w:val="clear" w:pos="708"/>
        <w:tab w:val="left" w:pos="360" w:leader="none"/>
      </w:tabs>
      <w:spacing w:before="240" w:after="120"/>
      <w:ind w:hanging="0"/>
      <w:jc w:val="left"/>
    </w:pPr>
    <w:rPr>
      <w:b/>
      <w:bCs/>
      <w:caps/>
    </w:rPr>
  </w:style>
  <w:style w:type="paragraph" w:styleId="NormalWCCM" w:customStyle="1">
    <w:name w:val="Normal WCCM"/>
    <w:qFormat/>
    <w:pPr>
      <w:widowControl w:val="false"/>
      <w:bidi w:val="0"/>
      <w:spacing w:before="0" w:after="0"/>
      <w:ind w:firstLine="284"/>
      <w:jc w:val="both"/>
    </w:pPr>
    <w:rPr>
      <w:rFonts w:ascii="Times New Roman" w:hAnsi="Times New Roman" w:eastAsia="Times New Roman" w:cs="Times New Roman"/>
      <w:color w:val="auto"/>
      <w:kern w:val="0"/>
      <w:sz w:val="24"/>
      <w:szCs w:val="24"/>
      <w:lang w:val="en-US" w:eastAsia="es-ES" w:bidi="ar-SA"/>
    </w:rPr>
  </w:style>
  <w:style w:type="paragraph" w:styleId="2ndTitleWCCM" w:customStyle="1">
    <w:name w:val="2nd Title WCCM"/>
    <w:basedOn w:val="NormalWCCM"/>
    <w:qFormat/>
    <w:pPr>
      <w:keepNext w:val="true"/>
      <w:keepLines/>
      <w:tabs>
        <w:tab w:val="clear" w:pos="708"/>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clear" w:pos="708"/>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bidi w:val="0"/>
      <w:spacing w:before="0" w:after="0"/>
      <w:jc w:val="right"/>
    </w:pPr>
    <w:rPr>
      <w:rFonts w:ascii="Times New Roman" w:hAnsi="Times New Roman" w:eastAsia="Times New Roman" w:cs="Times New Roman"/>
      <w:color w:val="auto"/>
      <w:kern w:val="0"/>
      <w:sz w:val="16"/>
      <w:szCs w:val="16"/>
      <w:lang w:val="en-US" w:eastAsia="es-ES" w:bidi="ar-SA"/>
    </w:rPr>
  </w:style>
  <w:style w:type="paragraph" w:styleId="Header2WCCM" w:customStyle="1">
    <w:name w:val="Header 2 WCCM"/>
    <w:basedOn w:val="Header1WCCM"/>
    <w:qFormat/>
    <w:pPr>
      <w:pBdr>
        <w:bottom w:val="single" w:sz="6" w:space="1" w:color="000000"/>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clear" w:pos="708"/>
        <w:tab w:val="left" w:pos="426" w:leader="none"/>
      </w:tabs>
      <w:ind w:left="426" w:hanging="426"/>
      <w:jc w:val="left"/>
    </w:pPr>
    <w:rPr/>
  </w:style>
  <w:style w:type="paragraph" w:styleId="FigureWCCM" w:customStyle="1">
    <w:name w:val="Figure WCCM"/>
    <w:qFormat/>
    <w:pPr>
      <w:widowControl w:val="false"/>
      <w:bidi w:val="0"/>
      <w:spacing w:before="0" w:after="240"/>
      <w:jc w:val="center"/>
    </w:pPr>
    <w:rPr>
      <w:rFonts w:ascii="Times New Roman" w:hAnsi="Times New Roman" w:eastAsia="Times New Roman" w:cs="Times New Roman"/>
      <w:color w:val="auto"/>
      <w:kern w:val="0"/>
      <w:sz w:val="24"/>
      <w:szCs w:val="20"/>
      <w:lang w:val="en-US" w:eastAsia="es-ES" w:bidi="ar-SA"/>
    </w:rPr>
  </w:style>
  <w:style w:type="paragraph" w:styleId="FiliacinCOMNI" w:customStyle="1">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customStyle="1">
    <w:name w:val="Pie Fig. o Tabla. COMNI"/>
    <w:basedOn w:val="Normal"/>
    <w:qFormat/>
    <w:pPr>
      <w:widowControl w:val="false"/>
      <w:spacing w:before="120" w:after="240"/>
      <w:ind w:firstLine="284"/>
      <w:jc w:val="center"/>
    </w:pPr>
    <w:rPr>
      <w:strike/>
      <w:sz w:val="20"/>
      <w:lang w:val="es-ES_tradnl"/>
    </w:rPr>
  </w:style>
  <w:style w:type="paragraph" w:styleId="HeaderandFooter">
    <w:name w:val="Header and Footer"/>
    <w:basedOn w:val="Normal"/>
    <w:qFormat/>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ReferenciaCOMNI" w:customStyle="1">
    <w:name w:val="Referencia. COMNI"/>
    <w:basedOn w:val="Normal"/>
    <w:qFormat/>
    <w:pPr>
      <w:widowControl w:val="false"/>
      <w:tabs>
        <w:tab w:val="clear" w:pos="708"/>
        <w:tab w:val="left" w:pos="426" w:leader="none"/>
      </w:tabs>
      <w:ind w:left="425" w:hanging="425"/>
      <w:jc w:val="both"/>
    </w:pPr>
    <w:rPr>
      <w:szCs w:val="20"/>
      <w:lang w:val="es-ES_tradnl"/>
    </w:rPr>
  </w:style>
  <w:style w:type="paragraph" w:styleId="BalloonText">
    <w:name w:val="Balloon Text"/>
    <w:basedOn w:val="Normal"/>
    <w:semiHidden/>
    <w:qFormat/>
    <w:rsid w:val="005557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COMAS2022@cimne.upc.ed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LibreOffice/6.4.7.2$Linux_X86_64 LibreOffice_project/40$Build-2</Application>
  <Pages>2</Pages>
  <Words>548</Words>
  <Characters>3365</Characters>
  <CharactersWithSpaces>3874</CharactersWithSpaces>
  <Paragraphs>32</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2016-06-02T13:23:00Z</dcterms:created>
  <dc:creator>forace</dc:creator>
  <dc:description/>
  <dc:language>en-US</dc:language>
  <cp:lastModifiedBy/>
  <cp:lastPrinted>2012-05-23T07:35:00Z</cp:lastPrinted>
  <dcterms:modified xsi:type="dcterms:W3CDTF">2021-06-28T21:45:22Z</dcterms:modified>
  <cp:revision>18</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