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pPr>
      <w:r>
        <w:rPr>
          <w:rFonts w:hint="default"/>
        </w:rPr>
        <w:t>Multi-scale modelling of generalised continua</w:t>
      </w:r>
      <w:r>
        <w:rPr>
          <w:rFonts w:hint="default"/>
          <w:lang w:val="pt"/>
        </w:rPr>
        <w:t xml:space="preserve"> </w:t>
      </w:r>
      <w:r>
        <w:rPr>
          <w:rFonts w:hint="default"/>
        </w:rPr>
        <w:t>and architectured materials</w:t>
      </w:r>
    </w:p>
    <w:p>
      <w:pPr>
        <w:pStyle w:val="17"/>
        <w:jc w:val="center"/>
        <w:rPr>
          <w:rFonts w:asciiTheme="majorBidi" w:hAnsiTheme="majorBidi" w:cstheme="majorBidi"/>
          <w:color w:val="000000"/>
          <w:sz w:val="24"/>
          <w:szCs w:val="24"/>
        </w:rPr>
      </w:pPr>
      <w:r>
        <w:rPr>
          <w:rFonts w:hint="default" w:asciiTheme="majorBidi" w:hAnsiTheme="majorBidi" w:cstheme="majorBidi"/>
          <w:sz w:val="24"/>
          <w:szCs w:val="24"/>
          <w:lang w:val="pt" w:eastAsia="it-IT"/>
        </w:rPr>
        <w:t>1000 Computational Solid Mechanics</w:t>
      </w:r>
      <w:r>
        <w:rPr>
          <w:rFonts w:asciiTheme="majorBidi" w:hAnsiTheme="majorBidi" w:cstheme="majorBidi"/>
          <w:sz w:val="24"/>
          <w:szCs w:val="24"/>
          <w:lang w:val="en-GB" w:eastAsia="it-IT"/>
        </w:rPr>
        <w:t xml:space="preserve">  </w:t>
      </w:r>
      <w:r>
        <w:rPr>
          <w:rFonts w:asciiTheme="majorBidi" w:hAnsiTheme="majorBidi" w:cstheme="majorBidi"/>
          <w:color w:val="FF0000"/>
          <w:sz w:val="24"/>
          <w:szCs w:val="24"/>
          <w:lang w:val="en-GB" w:eastAsia="it-IT"/>
        </w:rPr>
        <w:t xml:space="preserve"> </w:t>
      </w:r>
    </w:p>
    <w:p>
      <w:pPr>
        <w:pStyle w:val="17"/>
        <w:jc w:val="center"/>
        <w:rPr>
          <w:sz w:val="24"/>
        </w:rPr>
      </w:pPr>
      <w:r>
        <w:rPr>
          <w:rFonts w:hint="default"/>
          <w:sz w:val="24"/>
          <w:lang w:val="pt"/>
        </w:rPr>
        <w:t>IGOR</w:t>
      </w:r>
      <w:r>
        <w:rPr>
          <w:sz w:val="24"/>
        </w:rPr>
        <w:t xml:space="preserve"> A. </w:t>
      </w:r>
      <w:r>
        <w:rPr>
          <w:rFonts w:hint="default"/>
          <w:sz w:val="24"/>
          <w:lang w:val="pt"/>
        </w:rPr>
        <w:t>RODRIGUES LOPES</w:t>
      </w:r>
      <w:r>
        <w:rPr>
          <w:position w:val="12"/>
          <w:sz w:val="24"/>
          <w:szCs w:val="16"/>
        </w:rPr>
        <w:t>*</w:t>
      </w:r>
      <w:r>
        <w:rPr>
          <w:sz w:val="24"/>
        </w:rPr>
        <w:t xml:space="preserve">, </w:t>
      </w:r>
      <w:r>
        <w:rPr>
          <w:rFonts w:hint="default"/>
          <w:sz w:val="24"/>
          <w:lang w:val="pt"/>
        </w:rPr>
        <w:t>FRANCISCO M. ANDRADE PIRES</w:t>
      </w:r>
      <w:r>
        <w:rPr>
          <w:position w:val="12"/>
          <w:sz w:val="24"/>
          <w:szCs w:val="16"/>
        </w:rPr>
        <w:t>*</w:t>
      </w:r>
      <w:r>
        <w:rPr>
          <w:sz w:val="24"/>
        </w:rPr>
        <w:t xml:space="preserve"> </w:t>
      </w:r>
      <w:r>
        <w:rPr>
          <w:sz w:val="24"/>
        </w:rPr>
        <w:br w:type="textWrapping"/>
      </w:r>
      <w:r>
        <w:rPr>
          <w:sz w:val="24"/>
        </w:rPr>
        <w:t xml:space="preserve">and </w:t>
      </w:r>
      <w:r>
        <w:rPr>
          <w:rFonts w:hint="default"/>
          <w:sz w:val="24"/>
          <w:lang w:val="pt"/>
        </w:rPr>
        <w:t>EDUARDO DE SOUZA NETO</w:t>
      </w:r>
      <w:r>
        <w:rPr>
          <w:position w:val="12"/>
          <w:sz w:val="24"/>
          <w:szCs w:val="16"/>
        </w:rPr>
        <w:t>†</w:t>
      </w:r>
    </w:p>
    <w:p>
      <w:pPr>
        <w:pStyle w:val="18"/>
        <w:rPr>
          <w:rFonts w:hint="default"/>
          <w:lang w:val="pt"/>
        </w:rPr>
      </w:pPr>
      <w:r>
        <w:rPr>
          <w:position w:val="11"/>
          <w:sz w:val="16"/>
          <w:szCs w:val="16"/>
        </w:rPr>
        <w:t>*</w:t>
      </w:r>
      <w:r>
        <w:tab/>
      </w:r>
      <w:r>
        <w:rPr>
          <w:rFonts w:hint="default"/>
          <w:lang w:val="pt"/>
        </w:rPr>
        <w:t>Faculdade de Engenharia da Universidade do Porto</w:t>
      </w:r>
    </w:p>
    <w:p>
      <w:pPr>
        <w:pStyle w:val="18"/>
        <w:rPr>
          <w:rFonts w:hint="default"/>
          <w:lang w:val="pt"/>
        </w:rPr>
      </w:pPr>
      <w:r>
        <w:rPr>
          <w:rFonts w:hint="default"/>
          <w:lang w:val="pt"/>
        </w:rPr>
        <w:t>Rua Dr. Roberto Frias, 4200-465, Porto, Portugal</w:t>
      </w:r>
    </w:p>
    <w:p>
      <w:pPr>
        <w:pStyle w:val="18"/>
        <w:rPr>
          <w:rFonts w:hint="default"/>
          <w:lang w:val="pt"/>
        </w:rPr>
      </w:pPr>
      <w:r>
        <w:rPr>
          <w:rFonts w:hint="default"/>
          <w:lang w:val="pt"/>
        </w:rPr>
        <w:t>ilopes@fe.up.pt; fpires@fe.up.pt</w:t>
      </w:r>
    </w:p>
    <w:p>
      <w:pPr>
        <w:pStyle w:val="18"/>
        <w:rPr>
          <w:lang w:val="en-GB"/>
        </w:rPr>
      </w:pPr>
    </w:p>
    <w:p>
      <w:pPr>
        <w:pStyle w:val="18"/>
        <w:rPr>
          <w:rFonts w:hint="default"/>
          <w:lang w:val="pt"/>
        </w:rPr>
      </w:pPr>
      <w:r>
        <w:rPr>
          <w:vertAlign w:val="superscript"/>
        </w:rPr>
        <w:t>†</w:t>
      </w:r>
      <w:r>
        <w:t xml:space="preserve"> </w:t>
      </w:r>
      <w:r>
        <w:rPr>
          <w:lang w:val="pt"/>
        </w:rPr>
        <w:t>Zienkiewicz Centre for Computational Engineering</w:t>
      </w:r>
      <w:r>
        <w:rPr>
          <w:rFonts w:hint="default"/>
          <w:lang w:val="pt"/>
        </w:rPr>
        <w:t>, Swansea University</w:t>
      </w:r>
    </w:p>
    <w:p>
      <w:pPr>
        <w:pStyle w:val="18"/>
        <w:rPr>
          <w:lang w:val="pt"/>
        </w:rPr>
      </w:pPr>
      <w:r>
        <w:rPr>
          <w:lang w:val="pt"/>
        </w:rPr>
        <w:t>Swansea SA2 8PP, UK</w:t>
      </w:r>
    </w:p>
    <w:p>
      <w:pPr>
        <w:pStyle w:val="18"/>
        <w:rPr>
          <w:lang w:val="en-GB"/>
        </w:rPr>
      </w:pPr>
      <w:r>
        <w:rPr>
          <w:rFonts w:hint="default"/>
          <w:lang w:val="en-GB"/>
        </w:rPr>
        <w:t>e.desouzaneto@swansea.ac.uk</w:t>
      </w:r>
    </w:p>
    <w:p>
      <w:pPr>
        <w:pStyle w:val="15"/>
        <w:spacing w:before="240"/>
        <w:ind w:firstLine="0"/>
        <w:rPr>
          <w:color w:val="000000"/>
          <w:sz w:val="24"/>
        </w:rPr>
      </w:pPr>
      <w:r>
        <w:rPr>
          <w:b/>
          <w:bCs/>
          <w:color w:val="000000"/>
          <w:sz w:val="24"/>
        </w:rPr>
        <w:t>Key words:</w:t>
      </w:r>
      <w:r>
        <w:rPr>
          <w:color w:val="000000"/>
        </w:rPr>
        <w:t xml:space="preserve"> </w:t>
      </w:r>
      <w:r>
        <w:rPr>
          <w:rFonts w:hint="default"/>
          <w:color w:val="000000"/>
          <w:sz w:val="24"/>
          <w:lang w:val="pt"/>
        </w:rPr>
        <w:t>Multi-scale</w:t>
      </w:r>
      <w:r>
        <w:rPr>
          <w:color w:val="000000"/>
          <w:sz w:val="24"/>
        </w:rPr>
        <w:t xml:space="preserve">, </w:t>
      </w:r>
      <w:r>
        <w:rPr>
          <w:rFonts w:hint="default"/>
          <w:color w:val="000000"/>
          <w:sz w:val="24"/>
          <w:lang w:val="pt"/>
        </w:rPr>
        <w:t>Generalised continua</w:t>
      </w:r>
      <w:r>
        <w:rPr>
          <w:color w:val="000000"/>
          <w:sz w:val="24"/>
        </w:rPr>
        <w:t xml:space="preserve">, </w:t>
      </w:r>
      <w:r>
        <w:rPr>
          <w:rFonts w:hint="default"/>
          <w:sz w:val="24"/>
          <w:szCs w:val="16"/>
          <w:lang w:val="pt"/>
        </w:rPr>
        <w:t>Architectured materials</w:t>
      </w:r>
      <w:r>
        <w:rPr>
          <w:sz w:val="24"/>
        </w:rPr>
        <w:t>,</w:t>
      </w:r>
      <w:r>
        <w:rPr>
          <w:rFonts w:hint="default"/>
          <w:sz w:val="24"/>
          <w:lang w:val="pt"/>
        </w:rPr>
        <w:t xml:space="preserve"> Metamaterials, Homogenisation, Size effects</w:t>
      </w:r>
      <w:r>
        <w:rPr>
          <w:color w:val="000000"/>
          <w:sz w:val="24"/>
        </w:rPr>
        <w:t>.</w:t>
      </w:r>
    </w:p>
    <w:p>
      <w:pPr>
        <w:pStyle w:val="15"/>
        <w:ind w:firstLine="0"/>
      </w:pPr>
    </w:p>
    <w:p>
      <w:pPr>
        <w:pStyle w:val="14"/>
        <w:spacing w:before="0"/>
        <w:jc w:val="center"/>
        <w:outlineLvl w:val="0"/>
        <w:rPr>
          <w:sz w:val="24"/>
        </w:rPr>
      </w:pPr>
      <w:r>
        <w:rPr>
          <w:sz w:val="24"/>
        </w:rPr>
        <w:t>ABSTRACT</w:t>
      </w:r>
    </w:p>
    <w:p>
      <w:pPr>
        <w:autoSpaceDE w:val="0"/>
        <w:autoSpaceDN w:val="0"/>
        <w:adjustRightInd w:val="0"/>
        <w:spacing w:before="120" w:after="120"/>
        <w:jc w:val="both"/>
        <w:rPr>
          <w:rFonts w:hint="default"/>
          <w:color w:val="000000"/>
          <w:lang w:val="en-GB"/>
        </w:rPr>
      </w:pPr>
      <w:r>
        <w:rPr>
          <w:rFonts w:hint="default"/>
          <w:color w:val="000000"/>
          <w:lang w:val="en-GB"/>
        </w:rPr>
        <w:t>Cauchy continuum-based theories typically employed to model conventional solids may not be able to capture the complex or exotic behaviour of certain materials. In particular, materials exhibiting size effects or atypical mechanical behaviour, like architectured materials, metamaterials, and materials undergoing rather complex microscopic phenomena, require models that include additional information concerning their microstructure. For instance, generalised continua theories</w:t>
      </w:r>
      <w:r>
        <w:rPr>
          <w:rFonts w:hint="default"/>
          <w:color w:val="000000"/>
          <w:lang w:val="pt"/>
        </w:rPr>
        <w:t xml:space="preserve"> </w:t>
      </w:r>
      <w:r>
        <w:rPr>
          <w:rFonts w:hint="default"/>
          <w:color w:val="000000"/>
          <w:lang w:val="en-GB"/>
        </w:rPr>
        <w:t>(Cosserat, micromorphic, strain gradient, ...) and multi-scale approaches may be employed to predict the behaviour of this type of materials.</w:t>
      </w:r>
    </w:p>
    <w:p>
      <w:pPr>
        <w:autoSpaceDE w:val="0"/>
        <w:autoSpaceDN w:val="0"/>
        <w:adjustRightInd w:val="0"/>
        <w:spacing w:before="120" w:after="120"/>
        <w:jc w:val="both"/>
        <w:rPr>
          <w:rFonts w:hint="default"/>
          <w:color w:val="000000"/>
          <w:lang w:val="en-GB"/>
        </w:rPr>
      </w:pPr>
      <w:r>
        <w:rPr>
          <w:rFonts w:hint="default"/>
          <w:color w:val="000000"/>
          <w:lang w:val="pt"/>
        </w:rPr>
        <w:t>A</w:t>
      </w:r>
      <w:r>
        <w:rPr>
          <w:rFonts w:hint="default"/>
          <w:color w:val="000000"/>
          <w:lang w:val="en-GB"/>
        </w:rPr>
        <w:t xml:space="preserve"> place for discussion and exchange of ideas regarding the modelling, design and analysis of materials, taking into account their microstructure and their (possibly) non-classical behaviour at different scales</w:t>
      </w:r>
      <w:r>
        <w:rPr>
          <w:rFonts w:hint="default"/>
          <w:color w:val="000000"/>
          <w:lang w:val="pt"/>
        </w:rPr>
        <w:t>, is provided by this mini-symposium</w:t>
      </w:r>
      <w:r>
        <w:rPr>
          <w:rFonts w:hint="default"/>
          <w:color w:val="000000"/>
          <w:lang w:val="en-GB"/>
        </w:rPr>
        <w:t>. On the one hand, recent advances on the numerical description of th</w:t>
      </w:r>
      <w:r>
        <w:rPr>
          <w:rFonts w:hint="default"/>
          <w:color w:val="000000"/>
          <w:lang w:val="pt"/>
        </w:rPr>
        <w:t>ese</w:t>
      </w:r>
      <w:r>
        <w:rPr>
          <w:rFonts w:hint="default"/>
          <w:color w:val="000000"/>
          <w:lang w:val="en-GB"/>
        </w:rPr>
        <w:t xml:space="preserve"> materials </w:t>
      </w:r>
      <w:r>
        <w:rPr>
          <w:rFonts w:hint="default"/>
          <w:color w:val="000000"/>
          <w:lang w:val="pt"/>
        </w:rPr>
        <w:t>are</w:t>
      </w:r>
      <w:r>
        <w:rPr>
          <w:rFonts w:hint="default"/>
          <w:color w:val="000000"/>
          <w:lang w:val="en-GB"/>
        </w:rPr>
        <w:t xml:space="preserve"> foreseen, with focus on the multi-scale modelling </w:t>
      </w:r>
      <w:r>
        <w:rPr>
          <w:rFonts w:hint="default"/>
          <w:color w:val="000000"/>
          <w:lang w:val="pt"/>
        </w:rPr>
        <w:t xml:space="preserve">based on </w:t>
      </w:r>
      <w:r>
        <w:rPr>
          <w:rFonts w:hint="default"/>
          <w:color w:val="000000"/>
          <w:lang w:val="en-GB"/>
        </w:rPr>
        <w:t>homogenisation, techniques for optimal design of macro or microstructure</w:t>
      </w:r>
      <w:r>
        <w:rPr>
          <w:rFonts w:hint="default"/>
          <w:color w:val="000000"/>
          <w:lang w:val="pt"/>
        </w:rPr>
        <w:t>,</w:t>
      </w:r>
      <w:r>
        <w:rPr>
          <w:rFonts w:hint="default"/>
          <w:color w:val="000000"/>
          <w:lang w:val="en-GB"/>
        </w:rPr>
        <w:t xml:space="preserve"> and constitutive modelling </w:t>
      </w:r>
      <w:r>
        <w:rPr>
          <w:rFonts w:hint="default"/>
          <w:color w:val="000000"/>
          <w:lang w:val="pt"/>
        </w:rPr>
        <w:t>of</w:t>
      </w:r>
      <w:r>
        <w:rPr>
          <w:rFonts w:hint="default"/>
          <w:color w:val="000000"/>
          <w:lang w:val="en-GB"/>
        </w:rPr>
        <w:t xml:space="preserve"> generalised continua. On the other hand, there is also </w:t>
      </w:r>
      <w:r>
        <w:rPr>
          <w:rFonts w:hint="default"/>
          <w:color w:val="000000"/>
          <w:lang w:val="pt"/>
        </w:rPr>
        <w:t xml:space="preserve">interest in </w:t>
      </w:r>
      <w:r>
        <w:rPr>
          <w:rFonts w:hint="default"/>
          <w:color w:val="000000"/>
          <w:lang w:val="en-GB"/>
        </w:rPr>
        <w:t>the application of this sort of techniques to specific classes of materials, like multi-phase materials, metamaterials, fibre reinforced composites, polycrystalline materials, biological structures, and architectured materials, not to be exhaustive.</w:t>
      </w:r>
    </w:p>
    <w:p>
      <w:pPr>
        <w:autoSpaceDE w:val="0"/>
        <w:autoSpaceDN w:val="0"/>
        <w:adjustRightInd w:val="0"/>
        <w:spacing w:before="120" w:after="120"/>
        <w:jc w:val="both"/>
        <w:rPr>
          <w:rFonts w:hint="default"/>
          <w:color w:val="000000"/>
          <w:lang w:val="en-GB"/>
        </w:rPr>
      </w:pPr>
      <w:r>
        <w:rPr>
          <w:rFonts w:hint="default"/>
          <w:color w:val="000000"/>
          <w:lang w:val="en-GB"/>
        </w:rPr>
        <w:t xml:space="preserve">Contributions addressing but not </w:t>
      </w:r>
      <w:r>
        <w:rPr>
          <w:rFonts w:hint="default"/>
          <w:color w:val="000000"/>
          <w:lang w:val="pt"/>
        </w:rPr>
        <w:t>limited</w:t>
      </w:r>
      <w:r>
        <w:rPr>
          <w:rFonts w:hint="default"/>
          <w:color w:val="000000"/>
          <w:lang w:val="en-GB"/>
        </w:rPr>
        <w:t xml:space="preserve"> to the topics listed in what follows are welcomed:</w:t>
      </w:r>
    </w:p>
    <w:p>
      <w:pPr>
        <w:numPr>
          <w:ilvl w:val="0"/>
          <w:numId w:val="1"/>
        </w:numPr>
        <w:autoSpaceDE w:val="0"/>
        <w:autoSpaceDN w:val="0"/>
        <w:adjustRightInd w:val="0"/>
        <w:spacing w:before="120" w:after="120"/>
        <w:ind w:left="420" w:leftChars="0" w:hanging="420" w:firstLineChars="0"/>
        <w:jc w:val="both"/>
        <w:rPr>
          <w:rFonts w:hint="default"/>
          <w:color w:val="000000"/>
          <w:lang w:val="en-GB"/>
        </w:rPr>
      </w:pPr>
      <w:r>
        <w:rPr>
          <w:rFonts w:hint="default"/>
          <w:color w:val="000000"/>
          <w:lang w:val="en-GB"/>
        </w:rPr>
        <w:t>Multi-scale models based on second-order homogenisation, micromorphic homogenisation, and homogenisation of generalised continua;</w:t>
      </w:r>
    </w:p>
    <w:p>
      <w:pPr>
        <w:numPr>
          <w:ilvl w:val="0"/>
          <w:numId w:val="1"/>
        </w:numPr>
        <w:autoSpaceDE w:val="0"/>
        <w:autoSpaceDN w:val="0"/>
        <w:adjustRightInd w:val="0"/>
        <w:spacing w:before="120" w:after="120"/>
        <w:ind w:left="420" w:leftChars="0" w:hanging="420" w:firstLineChars="0"/>
        <w:jc w:val="both"/>
        <w:rPr>
          <w:rFonts w:hint="default"/>
          <w:color w:val="000000"/>
          <w:lang w:val="en-GB"/>
        </w:rPr>
      </w:pPr>
      <w:r>
        <w:rPr>
          <w:rFonts w:hint="default"/>
          <w:color w:val="000000"/>
          <w:lang w:val="en-GB"/>
        </w:rPr>
        <w:t>Analysis of size effects across</w:t>
      </w:r>
      <w:r>
        <w:rPr>
          <w:rFonts w:hint="default"/>
          <w:color w:val="000000"/>
          <w:lang w:val="pt"/>
        </w:rPr>
        <w:t xml:space="preserve"> the</w:t>
      </w:r>
      <w:r>
        <w:rPr>
          <w:rFonts w:hint="default"/>
          <w:color w:val="000000"/>
          <w:lang w:val="en-GB"/>
        </w:rPr>
        <w:t xml:space="preserve"> scales;</w:t>
      </w:r>
    </w:p>
    <w:p>
      <w:pPr>
        <w:numPr>
          <w:ilvl w:val="0"/>
          <w:numId w:val="1"/>
        </w:numPr>
        <w:autoSpaceDE w:val="0"/>
        <w:autoSpaceDN w:val="0"/>
        <w:adjustRightInd w:val="0"/>
        <w:spacing w:before="120" w:after="120"/>
        <w:ind w:left="420" w:leftChars="0" w:hanging="420" w:firstLineChars="0"/>
        <w:jc w:val="both"/>
        <w:rPr>
          <w:rFonts w:hint="default"/>
          <w:color w:val="000000"/>
          <w:lang w:val="en-GB"/>
        </w:rPr>
      </w:pPr>
      <w:r>
        <w:rPr>
          <w:rFonts w:hint="default"/>
          <w:color w:val="000000"/>
          <w:lang w:val="en-GB"/>
        </w:rPr>
        <w:t>Data-driven and reduced-order-models for generalised continua;</w:t>
      </w:r>
    </w:p>
    <w:p>
      <w:pPr>
        <w:numPr>
          <w:ilvl w:val="0"/>
          <w:numId w:val="1"/>
        </w:numPr>
        <w:autoSpaceDE w:val="0"/>
        <w:autoSpaceDN w:val="0"/>
        <w:adjustRightInd w:val="0"/>
        <w:spacing w:before="120" w:after="120"/>
        <w:ind w:left="420" w:leftChars="0" w:hanging="420" w:firstLineChars="0"/>
        <w:jc w:val="both"/>
        <w:rPr>
          <w:rFonts w:hint="default"/>
          <w:color w:val="000000"/>
          <w:lang w:val="en-GB"/>
        </w:rPr>
      </w:pPr>
      <w:r>
        <w:rPr>
          <w:rFonts w:hint="default"/>
          <w:color w:val="000000"/>
          <w:lang w:val="en-GB"/>
        </w:rPr>
        <w:t xml:space="preserve">Constitutive modelling and calibration </w:t>
      </w:r>
      <w:r>
        <w:rPr>
          <w:rFonts w:hint="default"/>
          <w:color w:val="000000"/>
          <w:lang w:val="pt"/>
        </w:rPr>
        <w:t xml:space="preserve">of parameters </w:t>
      </w:r>
      <w:r>
        <w:rPr>
          <w:rFonts w:hint="default"/>
          <w:color w:val="000000"/>
          <w:lang w:val="en-GB"/>
        </w:rPr>
        <w:t>in second-gradient continua, micromorphic continua or Cosserat continua;</w:t>
      </w:r>
    </w:p>
    <w:p>
      <w:pPr>
        <w:numPr>
          <w:ilvl w:val="0"/>
          <w:numId w:val="1"/>
        </w:numPr>
        <w:autoSpaceDE w:val="0"/>
        <w:autoSpaceDN w:val="0"/>
        <w:adjustRightInd w:val="0"/>
        <w:spacing w:before="120" w:after="120"/>
        <w:ind w:left="420" w:leftChars="0" w:hanging="420" w:firstLineChars="0"/>
        <w:jc w:val="both"/>
        <w:rPr>
          <w:rFonts w:hint="default"/>
          <w:color w:val="000000"/>
          <w:lang w:val="en-GB"/>
        </w:rPr>
      </w:pPr>
      <w:r>
        <w:rPr>
          <w:rFonts w:hint="default"/>
          <w:color w:val="000000"/>
          <w:lang w:val="en-GB"/>
        </w:rPr>
        <w:t>Multi-scale design and topology optimization of high-performance materials and metamaterials;</w:t>
      </w:r>
    </w:p>
    <w:p>
      <w:pPr>
        <w:numPr>
          <w:ilvl w:val="0"/>
          <w:numId w:val="1"/>
        </w:numPr>
        <w:autoSpaceDE w:val="0"/>
        <w:autoSpaceDN w:val="0"/>
        <w:adjustRightInd w:val="0"/>
        <w:spacing w:before="120" w:after="120"/>
        <w:ind w:left="420" w:leftChars="0" w:hanging="420" w:firstLineChars="0"/>
        <w:jc w:val="both"/>
        <w:rPr>
          <w:rFonts w:hint="default"/>
          <w:color w:val="000000"/>
          <w:lang w:val="en-GB"/>
        </w:rPr>
      </w:pPr>
      <w:r>
        <w:rPr>
          <w:rFonts w:hint="default"/>
          <w:color w:val="000000"/>
          <w:lang w:val="en-GB"/>
        </w:rPr>
        <w:t>Analysis of the influence of strain gradients in materials behaviour;</w:t>
      </w:r>
    </w:p>
    <w:p>
      <w:pPr>
        <w:numPr>
          <w:ilvl w:val="0"/>
          <w:numId w:val="1"/>
        </w:numPr>
        <w:autoSpaceDE w:val="0"/>
        <w:autoSpaceDN w:val="0"/>
        <w:adjustRightInd w:val="0"/>
        <w:spacing w:before="120" w:after="120"/>
        <w:ind w:left="420" w:leftChars="0" w:hanging="420" w:firstLineChars="0"/>
        <w:jc w:val="both"/>
        <w:rPr>
          <w:b w:val="0"/>
          <w:bCs w:val="0"/>
          <w:sz w:val="24"/>
        </w:rPr>
      </w:pPr>
      <w:r>
        <w:rPr>
          <w:rFonts w:hint="default"/>
          <w:color w:val="000000"/>
          <w:lang w:val="en-GB"/>
        </w:rPr>
        <w:t>Numerical methods to solve generalised continua and multi-scale problems.</w:t>
      </w:r>
      <w:bookmarkStart w:id="0" w:name="_GoBack"/>
      <w:bookmarkEnd w:id="0"/>
    </w:p>
    <w:sectPr>
      <w:headerReference r:id="rId4" w:type="first"/>
      <w:headerReference r:id="rId3" w:type="default"/>
      <w:footerReference r:id="rId5" w:type="default"/>
      <w:footerReference r:id="rId6" w:type="even"/>
      <w:pgSz w:w="11907" w:h="16840"/>
      <w:pgMar w:top="2438" w:right="1418" w:bottom="1617" w:left="1418" w:header="1134" w:footer="1134" w:gutter="0"/>
      <w:cols w:space="709"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Ubuntu"/>
    <w:panose1 w:val="020B0604030504040204"/>
    <w:charset w:val="00"/>
    <w:family w:val="swiss"/>
    <w:pitch w:val="default"/>
    <w:sig w:usb0="00000000" w:usb1="00000000" w:usb2="00000029" w:usb3="00000000" w:csb0="000101FF"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default"/>
        <w:lang w:val="pt"/>
      </w:rPr>
      <w:t>Igor</w:t>
    </w:r>
    <w:r>
      <w:t xml:space="preserve"> A. </w:t>
    </w:r>
    <w:r>
      <w:rPr>
        <w:rFonts w:hint="default"/>
        <w:lang w:val="pt"/>
      </w:rPr>
      <w:t>Rodrigues Lopes</w:t>
    </w:r>
    <w:r>
      <w:t xml:space="preserve">, </w:t>
    </w:r>
    <w:r>
      <w:rPr>
        <w:rFonts w:hint="default"/>
        <w:lang w:val="pt"/>
      </w:rPr>
      <w:t>Francisco M</w:t>
    </w:r>
    <w:r>
      <w:t>. A</w:t>
    </w:r>
    <w:r>
      <w:rPr>
        <w:rFonts w:hint="default"/>
        <w:lang w:val="pt"/>
      </w:rPr>
      <w:t xml:space="preserve">ndrade Pires </w:t>
    </w:r>
    <w:r>
      <w:t xml:space="preserve">and </w:t>
    </w:r>
    <w:r>
      <w:rPr>
        <w:rFonts w:hint="default"/>
        <w:lang w:val="pt"/>
      </w:rPr>
      <w:t>Eduardo de Souza Neto</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b/>
        <w:sz w:val="18"/>
        <w:szCs w:val="18"/>
        <w:lang w:val="en-US"/>
      </w:rPr>
    </w:pPr>
    <w:r>
      <w:rPr>
        <w:b/>
        <w:sz w:val="18"/>
        <w:szCs w:val="18"/>
        <w:lang w:val="en-GB"/>
      </w:rPr>
      <w:t>8th European Congress on Computational Methods in Applied Sciences and Engineering</w:t>
    </w:r>
    <w:r>
      <w:rPr>
        <w:b/>
        <w:sz w:val="18"/>
        <w:szCs w:val="18"/>
        <w:lang w:val="en-US"/>
      </w:rPr>
      <w:t xml:space="preserve"> (ECCOMA2022)</w:t>
    </w:r>
  </w:p>
  <w:p>
    <w:pPr>
      <w:pStyle w:val="5"/>
      <w:jc w:val="right"/>
      <w:rPr>
        <w:b/>
        <w:bCs/>
        <w:i/>
        <w:sz w:val="18"/>
        <w:szCs w:val="18"/>
        <w:lang w:val="en-GB"/>
      </w:rPr>
    </w:pPr>
    <w:r>
      <w:rPr>
        <w:b/>
        <w:bCs/>
        <w:i/>
        <w:sz w:val="18"/>
        <w:szCs w:val="18"/>
        <w:lang w:val="en-GB"/>
      </w:rPr>
      <w:t>June 5-9, 2022, Oslo, Norway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B94C7"/>
    <w:multiLevelType w:val="singleLevel"/>
    <w:tmpl w:val="9B7B94C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74"/>
    <w:rsid w:val="000204EE"/>
    <w:rsid w:val="00052774"/>
    <w:rsid w:val="000937C2"/>
    <w:rsid w:val="000C31A7"/>
    <w:rsid w:val="000E3F6B"/>
    <w:rsid w:val="000F4C18"/>
    <w:rsid w:val="00156314"/>
    <w:rsid w:val="002A6B2B"/>
    <w:rsid w:val="003E6163"/>
    <w:rsid w:val="00415405"/>
    <w:rsid w:val="00555774"/>
    <w:rsid w:val="005A6C4F"/>
    <w:rsid w:val="005A7F0E"/>
    <w:rsid w:val="00645FDD"/>
    <w:rsid w:val="00695FA1"/>
    <w:rsid w:val="006B010E"/>
    <w:rsid w:val="007A5B1C"/>
    <w:rsid w:val="007C1C38"/>
    <w:rsid w:val="00820C95"/>
    <w:rsid w:val="009017CD"/>
    <w:rsid w:val="0091061D"/>
    <w:rsid w:val="00952EDD"/>
    <w:rsid w:val="009771D8"/>
    <w:rsid w:val="00A334C4"/>
    <w:rsid w:val="00B401D6"/>
    <w:rsid w:val="00C0423D"/>
    <w:rsid w:val="00C42322"/>
    <w:rsid w:val="00C93602"/>
    <w:rsid w:val="00CC0C75"/>
    <w:rsid w:val="00D52305"/>
    <w:rsid w:val="00E154C5"/>
    <w:rsid w:val="00E51C67"/>
    <w:rsid w:val="00ED6A0A"/>
    <w:rsid w:val="00F039C5"/>
    <w:rsid w:val="00F125E1"/>
    <w:rsid w:val="00F51B3C"/>
    <w:rsid w:val="00FB2843"/>
    <w:rsid w:val="5BDD39C3"/>
    <w:rsid w:val="AEFF2C0F"/>
    <w:rsid w:val="F3FFDE9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s-ES" w:eastAsia="es-ES" w:bidi="ar-SA"/>
    </w:rPr>
  </w:style>
  <w:style w:type="character" w:default="1" w:styleId="6">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rFonts w:ascii="Tahoma" w:hAnsi="Tahoma" w:cs="Tahoma"/>
      <w:sz w:val="16"/>
      <w:szCs w:val="16"/>
    </w:rPr>
  </w:style>
  <w:style w:type="paragraph" w:styleId="3">
    <w:name w:val="Body Text"/>
    <w:basedOn w:val="1"/>
    <w:qFormat/>
    <w:uiPriority w:val="0"/>
    <w:pPr>
      <w:widowControl w:val="0"/>
      <w:jc w:val="both"/>
    </w:pPr>
    <w:rPr>
      <w:sz w:val="22"/>
      <w:szCs w:val="20"/>
    </w:rPr>
  </w:style>
  <w:style w:type="paragraph" w:styleId="4">
    <w:name w:val="footer"/>
    <w:basedOn w:val="1"/>
    <w:qFormat/>
    <w:uiPriority w:val="0"/>
    <w:pPr>
      <w:tabs>
        <w:tab w:val="center" w:pos="4252"/>
        <w:tab w:val="right" w:pos="8504"/>
      </w:tabs>
    </w:pPr>
  </w:style>
  <w:style w:type="paragraph" w:styleId="5">
    <w:name w:val="header"/>
    <w:basedOn w:val="1"/>
    <w:qFormat/>
    <w:uiPriority w:val="0"/>
    <w:pPr>
      <w:tabs>
        <w:tab w:val="center" w:pos="4252"/>
        <w:tab w:val="right" w:pos="8504"/>
      </w:tabs>
    </w:pPr>
  </w:style>
  <w:style w:type="character" w:styleId="7">
    <w:name w:val="endnote reference"/>
    <w:basedOn w:val="6"/>
    <w:semiHidden/>
    <w:qFormat/>
    <w:uiPriority w:val="0"/>
    <w:rPr>
      <w:vertAlign w:val="superscript"/>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character" w:styleId="10">
    <w:name w:val="page number"/>
    <w:basedOn w:val="6"/>
    <w:qFormat/>
    <w:uiPriority w:val="0"/>
  </w:style>
  <w:style w:type="character" w:styleId="11">
    <w:name w:val="Strong"/>
    <w:basedOn w:val="6"/>
    <w:qFormat/>
    <w:uiPriority w:val="0"/>
    <w:rPr>
      <w:b/>
      <w:bCs/>
    </w:rPr>
  </w:style>
  <w:style w:type="paragraph" w:customStyle="1" w:styleId="13">
    <w:name w:val="Ref Title WCCM"/>
    <w:basedOn w:val="14"/>
    <w:qFormat/>
    <w:uiPriority w:val="0"/>
    <w:pPr>
      <w:tabs>
        <w:tab w:val="left" w:pos="360"/>
      </w:tabs>
    </w:pPr>
  </w:style>
  <w:style w:type="paragraph" w:customStyle="1" w:styleId="14">
    <w:name w:val="1st Title WCCM"/>
    <w:basedOn w:val="15"/>
    <w:qFormat/>
    <w:uiPriority w:val="0"/>
    <w:pPr>
      <w:keepNext/>
      <w:keepLines/>
      <w:tabs>
        <w:tab w:val="left" w:pos="360"/>
      </w:tabs>
      <w:spacing w:before="240" w:after="120"/>
      <w:ind w:firstLine="0"/>
      <w:jc w:val="left"/>
    </w:pPr>
    <w:rPr>
      <w:b/>
      <w:bCs/>
      <w:caps/>
    </w:rPr>
  </w:style>
  <w:style w:type="paragraph" w:customStyle="1" w:styleId="15">
    <w:name w:val="Normal WCCM"/>
    <w:qFormat/>
    <w:uiPriority w:val="0"/>
    <w:pPr>
      <w:widowControl w:val="0"/>
      <w:autoSpaceDE w:val="0"/>
      <w:autoSpaceDN w:val="0"/>
      <w:ind w:firstLine="284"/>
      <w:jc w:val="both"/>
    </w:pPr>
    <w:rPr>
      <w:rFonts w:ascii="Times New Roman" w:hAnsi="Times New Roman" w:eastAsia="Times New Roman" w:cs="Times New Roman"/>
      <w:szCs w:val="24"/>
      <w:lang w:val="en-US" w:eastAsia="es-ES" w:bidi="ar-SA"/>
    </w:rPr>
  </w:style>
  <w:style w:type="paragraph" w:customStyle="1" w:styleId="16">
    <w:name w:val="2nd Title WCCM"/>
    <w:basedOn w:val="15"/>
    <w:qFormat/>
    <w:uiPriority w:val="0"/>
    <w:pPr>
      <w:keepNext/>
      <w:keepLines/>
      <w:tabs>
        <w:tab w:val="left" w:pos="426"/>
        <w:tab w:val="left" w:pos="720"/>
      </w:tabs>
      <w:spacing w:before="240" w:after="120"/>
      <w:ind w:firstLine="0"/>
      <w:jc w:val="left"/>
    </w:pPr>
    <w:rPr>
      <w:b/>
      <w:bCs/>
    </w:rPr>
  </w:style>
  <w:style w:type="paragraph" w:customStyle="1" w:styleId="17">
    <w:name w:val="Paper Title WCCM"/>
    <w:basedOn w:val="15"/>
    <w:qFormat/>
    <w:uiPriority w:val="0"/>
    <w:pPr>
      <w:spacing w:after="240"/>
      <w:ind w:firstLine="0"/>
    </w:pPr>
    <w:rPr>
      <w:b/>
      <w:bCs/>
      <w:caps/>
      <w:sz w:val="28"/>
      <w:szCs w:val="28"/>
    </w:rPr>
  </w:style>
  <w:style w:type="paragraph" w:customStyle="1" w:styleId="18">
    <w:name w:val="Lite WCCM"/>
    <w:basedOn w:val="15"/>
    <w:qFormat/>
    <w:uiPriority w:val="0"/>
    <w:pPr>
      <w:tabs>
        <w:tab w:val="left" w:pos="142"/>
      </w:tabs>
      <w:ind w:firstLine="0"/>
      <w:jc w:val="center"/>
    </w:pPr>
    <w:rPr>
      <w:sz w:val="22"/>
      <w:szCs w:val="22"/>
    </w:rPr>
  </w:style>
  <w:style w:type="paragraph" w:customStyle="1" w:styleId="19">
    <w:name w:val="Abstract WCCM"/>
    <w:basedOn w:val="15"/>
    <w:qFormat/>
    <w:uiPriority w:val="0"/>
    <w:pPr>
      <w:ind w:left="708" w:firstLine="0"/>
    </w:pPr>
  </w:style>
  <w:style w:type="paragraph" w:customStyle="1" w:styleId="20">
    <w:name w:val="Header 1 WCCM"/>
    <w:qFormat/>
    <w:uiPriority w:val="0"/>
    <w:pPr>
      <w:widowControl w:val="0"/>
      <w:autoSpaceDE w:val="0"/>
      <w:autoSpaceDN w:val="0"/>
      <w:jc w:val="right"/>
    </w:pPr>
    <w:rPr>
      <w:rFonts w:ascii="Times New Roman" w:hAnsi="Times New Roman" w:eastAsia="Times New Roman" w:cs="Times New Roman"/>
      <w:sz w:val="16"/>
      <w:szCs w:val="16"/>
      <w:lang w:val="en-US" w:eastAsia="es-ES" w:bidi="ar-SA"/>
    </w:rPr>
  </w:style>
  <w:style w:type="paragraph" w:customStyle="1" w:styleId="21">
    <w:name w:val="Header 2 WCCM"/>
    <w:basedOn w:val="20"/>
    <w:qFormat/>
    <w:uiPriority w:val="0"/>
    <w:pPr>
      <w:pBdr>
        <w:bottom w:val="single" w:color="auto" w:sz="6" w:space="1"/>
      </w:pBdr>
      <w:ind w:right="-1"/>
      <w:jc w:val="center"/>
    </w:pPr>
    <w:rPr>
      <w:sz w:val="20"/>
      <w:szCs w:val="20"/>
    </w:rPr>
  </w:style>
  <w:style w:type="paragraph" w:customStyle="1" w:styleId="22">
    <w:name w:val="Pg Number WCCM"/>
    <w:basedOn w:val="15"/>
    <w:qFormat/>
    <w:uiPriority w:val="0"/>
    <w:pPr>
      <w:jc w:val="center"/>
    </w:pPr>
  </w:style>
  <w:style w:type="paragraph" w:customStyle="1" w:styleId="23">
    <w:name w:val="Reference WCCM"/>
    <w:basedOn w:val="15"/>
    <w:qFormat/>
    <w:uiPriority w:val="0"/>
    <w:pPr>
      <w:tabs>
        <w:tab w:val="left" w:pos="426"/>
      </w:tabs>
      <w:ind w:left="426" w:hanging="426"/>
      <w:jc w:val="left"/>
    </w:pPr>
  </w:style>
  <w:style w:type="paragraph" w:customStyle="1" w:styleId="24">
    <w:name w:val="Figure WCCM"/>
    <w:qFormat/>
    <w:uiPriority w:val="0"/>
    <w:pPr>
      <w:widowControl w:val="0"/>
      <w:autoSpaceDE w:val="0"/>
      <w:autoSpaceDN w:val="0"/>
      <w:spacing w:after="240"/>
      <w:jc w:val="center"/>
    </w:pPr>
    <w:rPr>
      <w:rFonts w:ascii="Times New Roman" w:hAnsi="Times New Roman" w:eastAsia="Times New Roman" w:cs="Times New Roman"/>
      <w:lang w:val="en-US" w:eastAsia="es-ES" w:bidi="ar-SA"/>
    </w:rPr>
  </w:style>
  <w:style w:type="paragraph" w:customStyle="1" w:styleId="25">
    <w:name w:val="Filiación.COMNI"/>
    <w:basedOn w:val="1"/>
    <w:qFormat/>
    <w:uiPriority w:val="0"/>
    <w:pPr>
      <w:widowControl w:val="0"/>
      <w:tabs>
        <w:tab w:val="left" w:pos="142"/>
      </w:tabs>
      <w:autoSpaceDE w:val="0"/>
      <w:autoSpaceDN w:val="0"/>
      <w:jc w:val="center"/>
    </w:pPr>
    <w:rPr>
      <w:strike/>
      <w:sz w:val="22"/>
      <w:szCs w:val="22"/>
    </w:rPr>
  </w:style>
  <w:style w:type="paragraph" w:customStyle="1" w:styleId="26">
    <w:name w:val="Pie Fig. o Tabla. COMNI"/>
    <w:basedOn w:val="1"/>
    <w:qFormat/>
    <w:uiPriority w:val="0"/>
    <w:pPr>
      <w:widowControl w:val="0"/>
      <w:autoSpaceDE w:val="0"/>
      <w:autoSpaceDN w:val="0"/>
      <w:spacing w:before="120" w:after="240"/>
      <w:ind w:firstLine="284"/>
      <w:jc w:val="center"/>
    </w:pPr>
    <w:rPr>
      <w:strike/>
      <w:sz w:val="20"/>
    </w:rPr>
  </w:style>
  <w:style w:type="paragraph" w:customStyle="1" w:styleId="27">
    <w:name w:val="Referencia. COMNI"/>
    <w:basedOn w:val="1"/>
    <w:qFormat/>
    <w:uiPriority w:val="0"/>
    <w:pPr>
      <w:widowControl w:val="0"/>
      <w:tabs>
        <w:tab w:val="left" w:pos="426"/>
      </w:tabs>
      <w:ind w:left="425" w:hanging="425"/>
      <w:jc w:val="both"/>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CIMNE</Company>
  <Pages>1</Pages>
  <Words>231</Words>
  <Characters>1274</Characters>
  <Lines>10</Lines>
  <Paragraphs>3</Paragraphs>
  <TotalTime>6</TotalTime>
  <ScaleCrop>false</ScaleCrop>
  <LinksUpToDate>false</LinksUpToDate>
  <CharactersWithSpaces>1502</CharactersWithSpaces>
  <Application>WPS Office_11.1.0.8722_F1E327BC-269C-435d-A152-05C5408002CA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2016-06-02T15:23:00Z</dcterms:created>
  <dc:creator>forace</dc:creator>
  <cp:lastModifiedBy>igor</cp:lastModifiedBy>
  <cp:lastPrinted>2012-05-23T09:35:00Z</cp:lastPrinted>
  <dcterms:modified xsi:type="dcterms:W3CDTF">2021-06-28T11:09:56Z</dcterms:modified>
  <dc:title>INSTRUCTIONS TO PREPARE A PAPER FOR THE EUROPEAN CONGRESS ON COMPUTATIONAL METHODS IN APPLIED SCIENCES AND ENGINEERING</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1033-11.1.0.8722</vt:lpwstr>
  </property>
</Properties>
</file>