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C2" w:rsidRDefault="00C57310">
      <w:pPr>
        <w:pStyle w:val="PaperTitleWCCM"/>
        <w:jc w:val="center"/>
      </w:pPr>
      <w:r>
        <w:t>Discrete element Method (DEM) simulations of Pharmaceutical Processes</w:t>
      </w:r>
    </w:p>
    <w:p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>TRACK Number</w:t>
      </w:r>
      <w:r w:rsidR="00C57310">
        <w:rPr>
          <w:rFonts w:asciiTheme="majorBidi" w:hAnsiTheme="majorBidi" w:cstheme="majorBidi"/>
          <w:sz w:val="24"/>
          <w:szCs w:val="24"/>
        </w:rPr>
        <w:t>:</w:t>
      </w:r>
      <w:r w:rsidRPr="00F039C5">
        <w:rPr>
          <w:rFonts w:asciiTheme="majorBidi" w:hAnsiTheme="majorBidi" w:cstheme="majorBidi"/>
          <w:sz w:val="24"/>
          <w:szCs w:val="24"/>
        </w:rPr>
        <w:t xml:space="preserve"> 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7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000</w:t>
      </w:r>
      <w:r w:rsidR="00C57310">
        <w:rPr>
          <w:rFonts w:asciiTheme="majorBidi" w:hAnsiTheme="majorBidi" w:cstheme="majorBidi"/>
          <w:sz w:val="24"/>
          <w:szCs w:val="24"/>
          <w:lang w:val="en-GB" w:eastAsia="it-IT"/>
        </w:rPr>
        <w:t xml:space="preserve"> (Industrial Applications)</w:t>
      </w:r>
    </w:p>
    <w:p w:rsidR="000937C2" w:rsidRDefault="00C57310">
      <w:pPr>
        <w:pStyle w:val="PaperTitleWCCM"/>
        <w:jc w:val="center"/>
        <w:rPr>
          <w:sz w:val="24"/>
        </w:rPr>
      </w:pPr>
      <w:r>
        <w:rPr>
          <w:sz w:val="24"/>
        </w:rPr>
        <w:t>PEter</w:t>
      </w:r>
      <w:r w:rsidR="000937C2">
        <w:rPr>
          <w:sz w:val="24"/>
        </w:rPr>
        <w:t xml:space="preserve"> </w:t>
      </w:r>
      <w:r>
        <w:rPr>
          <w:sz w:val="24"/>
        </w:rPr>
        <w:t>Toson and PEter Böhling</w:t>
      </w:r>
    </w:p>
    <w:p w:rsidR="000937C2" w:rsidRPr="000F4C18" w:rsidRDefault="00C57310">
      <w:pPr>
        <w:pStyle w:val="LiteWCCM"/>
      </w:pPr>
      <w:r>
        <w:t>RCPE (Research Center Pharmaceutical Engineering)</w:t>
      </w:r>
    </w:p>
    <w:p w:rsidR="000937C2" w:rsidRPr="00352650" w:rsidRDefault="00C57310">
      <w:pPr>
        <w:pStyle w:val="LiteWCCM"/>
        <w:rPr>
          <w:lang w:val="de-AT"/>
        </w:rPr>
      </w:pPr>
      <w:proofErr w:type="spellStart"/>
      <w:r w:rsidRPr="00352650">
        <w:rPr>
          <w:lang w:val="de-AT"/>
        </w:rPr>
        <w:t>Inffeldgasse</w:t>
      </w:r>
      <w:proofErr w:type="spellEnd"/>
      <w:r w:rsidRPr="00352650">
        <w:rPr>
          <w:lang w:val="de-AT"/>
        </w:rPr>
        <w:t xml:space="preserve"> 13</w:t>
      </w:r>
    </w:p>
    <w:p w:rsidR="00C57310" w:rsidRPr="00352650" w:rsidRDefault="00C57310">
      <w:pPr>
        <w:pStyle w:val="LiteWCCM"/>
        <w:rPr>
          <w:lang w:val="de-AT"/>
        </w:rPr>
      </w:pPr>
      <w:r w:rsidRPr="00352650">
        <w:rPr>
          <w:lang w:val="de-AT"/>
        </w:rPr>
        <w:t>8010 Graz</w:t>
      </w:r>
    </w:p>
    <w:p w:rsidR="00C57310" w:rsidRPr="00352650" w:rsidRDefault="00C57310">
      <w:pPr>
        <w:pStyle w:val="LiteWCCM"/>
        <w:rPr>
          <w:lang w:val="de-AT"/>
        </w:rPr>
      </w:pPr>
      <w:r w:rsidRPr="00352650">
        <w:rPr>
          <w:lang w:val="de-AT"/>
        </w:rPr>
        <w:t>Austria</w:t>
      </w:r>
    </w:p>
    <w:p w:rsidR="000937C2" w:rsidRPr="00352650" w:rsidRDefault="004A1360">
      <w:pPr>
        <w:pStyle w:val="LiteWCCM"/>
        <w:rPr>
          <w:lang w:val="de-AT"/>
        </w:rPr>
      </w:pPr>
      <w:hyperlink r:id="rId7" w:history="1">
        <w:r w:rsidR="00C57310" w:rsidRPr="00352650">
          <w:rPr>
            <w:rStyle w:val="Hyperlink"/>
            <w:lang w:val="de-AT"/>
          </w:rPr>
          <w:t>peter.toson@rcpe.at</w:t>
        </w:r>
      </w:hyperlink>
    </w:p>
    <w:p w:rsidR="00C57310" w:rsidRDefault="004A1360">
      <w:pPr>
        <w:pStyle w:val="LiteWCCM"/>
        <w:rPr>
          <w:lang w:val="en-GB"/>
        </w:rPr>
      </w:pPr>
      <w:hyperlink r:id="rId8" w:history="1">
        <w:r w:rsidR="00C57310" w:rsidRPr="00AB7535">
          <w:rPr>
            <w:rStyle w:val="Hyperlink"/>
            <w:lang w:val="en-GB"/>
          </w:rPr>
          <w:t>peter.boeling@rcpe.at</w:t>
        </w:r>
      </w:hyperlink>
    </w:p>
    <w:p w:rsidR="00C57310" w:rsidRDefault="004A1360">
      <w:pPr>
        <w:pStyle w:val="LiteWCCM"/>
        <w:rPr>
          <w:lang w:val="en-GB"/>
        </w:rPr>
      </w:pPr>
      <w:hyperlink r:id="rId9" w:history="1">
        <w:r w:rsidR="00C57310" w:rsidRPr="00AB7535">
          <w:rPr>
            <w:rStyle w:val="Hyperlink"/>
            <w:lang w:val="en-GB"/>
          </w:rPr>
          <w:t>www.rc</w:t>
        </w:r>
        <w:bookmarkStart w:id="0" w:name="_GoBack"/>
        <w:bookmarkEnd w:id="0"/>
        <w:r w:rsidR="00C57310" w:rsidRPr="00AB7535">
          <w:rPr>
            <w:rStyle w:val="Hyperlink"/>
            <w:lang w:val="en-GB"/>
          </w:rPr>
          <w:t>pe.at</w:t>
        </w:r>
      </w:hyperlink>
    </w:p>
    <w:p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C57310">
        <w:rPr>
          <w:color w:val="000000"/>
          <w:sz w:val="24"/>
        </w:rPr>
        <w:t>Discrete Element Method, Pharmaceutical Engineering, Powder Processing, Feeding, Mixing, Tableting, Batch Manufacturing, Continuous Manufacturing, Critical Quality Attributes</w:t>
      </w:r>
    </w:p>
    <w:p w:rsidR="000937C2" w:rsidRDefault="000937C2">
      <w:pPr>
        <w:pStyle w:val="NormalWCCM"/>
        <w:ind w:firstLine="0"/>
      </w:pPr>
    </w:p>
    <w:p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:rsidR="004D4FBF" w:rsidRDefault="0078053E" w:rsidP="00F125E1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Modeling</w:t>
      </w:r>
      <w:proofErr w:type="spellEnd"/>
      <w:r>
        <w:rPr>
          <w:color w:val="000000"/>
          <w:lang w:val="en-GB"/>
        </w:rPr>
        <w:t xml:space="preserve"> pharmaceutical processes is a challenging and complex field. One challenge is the sheer number of different processing steps involved when creating something seemingly simple as a tablet: wet or dry granulation of difficult to process powders, drying of the granules if necessary, blending of the components, tableting, and tablet coating. Each of these processes exist in a batch or a continuous form. </w:t>
      </w:r>
      <w:r w:rsidR="004D4FBF">
        <w:rPr>
          <w:color w:val="000000"/>
          <w:lang w:val="en-GB"/>
        </w:rPr>
        <w:t>The number of processes increases further if different forms of drug delivery are considered.</w:t>
      </w:r>
    </w:p>
    <w:p w:rsidR="00C33530" w:rsidRDefault="004D4FBF" w:rsidP="00C33530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Due to the different nature of the processes, </w:t>
      </w:r>
      <w:r w:rsidR="00C33530">
        <w:rPr>
          <w:color w:val="000000"/>
          <w:lang w:val="en-GB"/>
        </w:rPr>
        <w:t xml:space="preserve">even the DEM-focused </w:t>
      </w:r>
      <w:r>
        <w:rPr>
          <w:color w:val="000000"/>
          <w:lang w:val="en-GB"/>
        </w:rPr>
        <w:t xml:space="preserve">presentations of pharmaceutical applications are often scattered across different sessions: </w:t>
      </w:r>
      <w:proofErr w:type="spellStart"/>
      <w:r>
        <w:rPr>
          <w:color w:val="000000"/>
          <w:lang w:val="en-GB"/>
        </w:rPr>
        <w:t>modeling</w:t>
      </w:r>
      <w:proofErr w:type="spellEnd"/>
      <w:r>
        <w:rPr>
          <w:color w:val="000000"/>
          <w:lang w:val="en-GB"/>
        </w:rPr>
        <w:t xml:space="preserve"> of the cohesive pharmaceutical powders and complex particle shapes might land </w:t>
      </w:r>
      <w:r w:rsidR="00C33530">
        <w:rPr>
          <w:color w:val="000000"/>
          <w:lang w:val="en-GB"/>
        </w:rPr>
        <w:t>in the session focusing on fundamentals, feeding</w:t>
      </w:r>
      <w:r w:rsidR="00D82738">
        <w:rPr>
          <w:color w:val="000000"/>
          <w:lang w:val="en-GB"/>
        </w:rPr>
        <w:t>,</w:t>
      </w:r>
      <w:r w:rsidR="00C33530">
        <w:rPr>
          <w:color w:val="000000"/>
          <w:lang w:val="en-GB"/>
        </w:rPr>
        <w:t xml:space="preserve"> and blending in the "Granular Flow" session, drying and tablet coating in "Coupled Problems". Th</w:t>
      </w:r>
      <w:r w:rsidR="00D82738">
        <w:rPr>
          <w:color w:val="000000"/>
          <w:lang w:val="en-GB"/>
        </w:rPr>
        <w:t xml:space="preserve">is </w:t>
      </w:r>
      <w:proofErr w:type="spellStart"/>
      <w:r w:rsidR="00D82738">
        <w:rPr>
          <w:color w:val="000000"/>
          <w:lang w:val="en-GB"/>
        </w:rPr>
        <w:t>Minisymposium</w:t>
      </w:r>
      <w:proofErr w:type="spellEnd"/>
      <w:r w:rsidR="00D82738">
        <w:rPr>
          <w:color w:val="000000"/>
          <w:lang w:val="en-GB"/>
        </w:rPr>
        <w:t xml:space="preserve"> aim</w:t>
      </w:r>
      <w:r w:rsidR="00C33530">
        <w:rPr>
          <w:color w:val="000000"/>
          <w:lang w:val="en-GB"/>
        </w:rPr>
        <w:t>s to focus the pharmaceutical applications into one session, bringing the different groups working in the pharmaceutical field together.</w:t>
      </w:r>
    </w:p>
    <w:p w:rsidR="00C33530" w:rsidRDefault="00C33530" w:rsidP="00C33530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All applications that utilize pure or coupled DEM simulations to model pharmaceutical proces</w:t>
      </w:r>
      <w:r w:rsidR="00D82738">
        <w:rPr>
          <w:color w:val="000000"/>
          <w:lang w:val="en-GB"/>
        </w:rPr>
        <w:t>se</w:t>
      </w:r>
      <w:r>
        <w:rPr>
          <w:color w:val="000000"/>
          <w:lang w:val="en-GB"/>
        </w:rPr>
        <w:t>s are welcome</w:t>
      </w:r>
      <w:r w:rsidR="00087EB3">
        <w:rPr>
          <w:color w:val="000000"/>
          <w:lang w:val="en-GB"/>
        </w:rPr>
        <w:t>. The processes are not limited to the examples above. Priority will be given to presentations that relate the DEM results to critical quality attributes of the intermediate and final products.</w:t>
      </w:r>
    </w:p>
    <w:p w:rsidR="000937C2" w:rsidRPr="000F4C18" w:rsidRDefault="000937C2">
      <w:pPr>
        <w:pStyle w:val="1stTitleWCCM"/>
        <w:spacing w:before="0"/>
        <w:ind w:left="360" w:hanging="360"/>
        <w:outlineLvl w:val="0"/>
        <w:rPr>
          <w:b w:val="0"/>
          <w:bCs w:val="0"/>
          <w:sz w:val="24"/>
        </w:rPr>
      </w:pPr>
    </w:p>
    <w:sectPr w:rsidR="000937C2" w:rsidRPr="000F4C18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60" w:rsidRDefault="004A1360">
      <w:r>
        <w:separator/>
      </w:r>
    </w:p>
  </w:endnote>
  <w:endnote w:type="continuationSeparator" w:id="0">
    <w:p w:rsidR="004A1360" w:rsidRDefault="004A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93602" w:rsidRDefault="00C936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33530">
      <w:rPr>
        <w:rStyle w:val="Seitenzahl"/>
        <w:noProof/>
      </w:rPr>
      <w:t>2</w:t>
    </w:r>
    <w:r>
      <w:rPr>
        <w:rStyle w:val="Seitenzahl"/>
      </w:rPr>
      <w:fldChar w:fldCharType="end"/>
    </w:r>
  </w:p>
  <w:p w:rsidR="00C93602" w:rsidRDefault="00C936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60" w:rsidRDefault="004A1360">
      <w:r>
        <w:separator/>
      </w:r>
    </w:p>
  </w:footnote>
  <w:footnote w:type="continuationSeparator" w:id="0">
    <w:p w:rsidR="004A1360" w:rsidRDefault="004A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C4" w:rsidRPr="007A5B1C" w:rsidRDefault="007A5B1C" w:rsidP="00F51B3C">
    <w:pPr>
      <w:pStyle w:val="Kopfzeil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:rsidR="00C93602" w:rsidRPr="007A5B1C" w:rsidRDefault="00F51B3C" w:rsidP="00415405">
    <w:pPr>
      <w:pStyle w:val="Kopfzeil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zYzNzc1tDQ1NjFU0lEKTi0uzszPAykwqgUAelixqiwAAAA="/>
  </w:docVars>
  <w:rsids>
    <w:rsidRoot w:val="00555774"/>
    <w:rsid w:val="000204EE"/>
    <w:rsid w:val="000526FD"/>
    <w:rsid w:val="00052774"/>
    <w:rsid w:val="00087EB3"/>
    <w:rsid w:val="000937C2"/>
    <w:rsid w:val="000C31A7"/>
    <w:rsid w:val="000E3F6B"/>
    <w:rsid w:val="000F4C18"/>
    <w:rsid w:val="00156314"/>
    <w:rsid w:val="002A6B2B"/>
    <w:rsid w:val="00352650"/>
    <w:rsid w:val="00395DE5"/>
    <w:rsid w:val="003E6163"/>
    <w:rsid w:val="00415405"/>
    <w:rsid w:val="004A1360"/>
    <w:rsid w:val="004D4FBF"/>
    <w:rsid w:val="00555774"/>
    <w:rsid w:val="005A6C4F"/>
    <w:rsid w:val="005A7F0E"/>
    <w:rsid w:val="00645FDD"/>
    <w:rsid w:val="00695FA1"/>
    <w:rsid w:val="006B010E"/>
    <w:rsid w:val="0078053E"/>
    <w:rsid w:val="007A5B1C"/>
    <w:rsid w:val="007C1C38"/>
    <w:rsid w:val="00820C95"/>
    <w:rsid w:val="009017CD"/>
    <w:rsid w:val="0091061D"/>
    <w:rsid w:val="00952EDD"/>
    <w:rsid w:val="009771D8"/>
    <w:rsid w:val="00A334C4"/>
    <w:rsid w:val="00B401D6"/>
    <w:rsid w:val="00C0423D"/>
    <w:rsid w:val="00C33530"/>
    <w:rsid w:val="00C42322"/>
    <w:rsid w:val="00C57310"/>
    <w:rsid w:val="00C93602"/>
    <w:rsid w:val="00CC0C75"/>
    <w:rsid w:val="00D52305"/>
    <w:rsid w:val="00D82738"/>
    <w:rsid w:val="00DE709E"/>
    <w:rsid w:val="00E154C5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0D93F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Standard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PieFigoTablaCOMNI">
    <w:name w:val="Pie Fig. o Tabla. COMNI"/>
    <w:basedOn w:val="Standard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Sprechblasentext">
    <w:name w:val="Balloon Text"/>
    <w:basedOn w:val="Standard"/>
    <w:semiHidden/>
    <w:rsid w:val="00555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boeling@rcpe.a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eter.toson@rcpe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cpe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1956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Böhling Peter PB.</cp:lastModifiedBy>
  <cp:revision>5</cp:revision>
  <cp:lastPrinted>2012-05-23T07:35:00Z</cp:lastPrinted>
  <dcterms:created xsi:type="dcterms:W3CDTF">2021-09-23T12:31:00Z</dcterms:created>
  <dcterms:modified xsi:type="dcterms:W3CDTF">2021-09-23T14:54:00Z</dcterms:modified>
</cp:coreProperties>
</file>